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09" w:right="1269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BG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left="85" w:right="3330"/>
      </w:pPr>
      <w:r>
        <w:rPr>
          <w:spacing w:val="-2"/>
        </w:rPr>
        <w:t>Преработено издание/Поправено издание/Първо/Второ/[n-то] 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85"/>
      </w:pPr>
      <w:r>
        <w:rPr/>
        <w:t>Настоящият</w:t>
      </w:r>
      <w:r>
        <w:rPr>
          <w:spacing w:val="-6"/>
        </w:rPr>
        <w:t> </w:t>
      </w:r>
      <w:r>
        <w:rPr/>
        <w:t>документ</w:t>
      </w:r>
      <w:r>
        <w:rPr>
          <w:spacing w:val="-6"/>
        </w:rPr>
        <w:t> </w:t>
      </w:r>
      <w:r>
        <w:rPr/>
        <w:t>не</w:t>
      </w:r>
      <w:r>
        <w:rPr>
          <w:spacing w:val="-6"/>
        </w:rPr>
        <w:t> </w:t>
      </w:r>
      <w:r>
        <w:rPr/>
        <w:t>може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счита</w:t>
      </w:r>
      <w:r>
        <w:rPr>
          <w:spacing w:val="-6"/>
        </w:rPr>
        <w:t> </w:t>
      </w:r>
      <w:r>
        <w:rPr/>
        <w:t>за</w:t>
      </w:r>
      <w:r>
        <w:rPr>
          <w:spacing w:val="-6"/>
        </w:rPr>
        <w:t> </w:t>
      </w:r>
      <w:r>
        <w:rPr/>
        <w:t>официална</w:t>
      </w:r>
      <w:r>
        <w:rPr>
          <w:spacing w:val="-6"/>
        </w:rPr>
        <w:t> </w:t>
      </w:r>
      <w:r>
        <w:rPr/>
        <w:t>позиция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[Европейската</w:t>
      </w:r>
      <w:r>
        <w:rPr>
          <w:spacing w:val="-6"/>
        </w:rPr>
        <w:t> </w:t>
      </w:r>
      <w:r>
        <w:rPr/>
        <w:t>централна/органа/ </w:t>
      </w:r>
      <w:r>
        <w:rPr>
          <w:spacing w:val="-2"/>
        </w:rPr>
        <w:t>агенцията].</w:t>
      </w:r>
    </w:p>
    <w:p>
      <w:pPr>
        <w:pStyle w:val="BodyText"/>
        <w:spacing w:before="75"/>
      </w:pPr>
    </w:p>
    <w:p>
      <w:pPr>
        <w:pStyle w:val="BodyText"/>
        <w:ind w:left="85"/>
      </w:pPr>
      <w:r>
        <w:rPr/>
        <w:t>Люксембург:</w:t>
      </w:r>
      <w:r>
        <w:rPr>
          <w:spacing w:val="-10"/>
        </w:rPr>
        <w:t> </w:t>
      </w:r>
      <w:r>
        <w:rPr/>
        <w:t>Служба</w:t>
      </w:r>
      <w:r>
        <w:rPr>
          <w:spacing w:val="-7"/>
        </w:rPr>
        <w:t> </w:t>
      </w:r>
      <w:r>
        <w:rPr/>
        <w:t>за</w:t>
      </w:r>
      <w:r>
        <w:rPr>
          <w:spacing w:val="-8"/>
        </w:rPr>
        <w:t> </w:t>
      </w:r>
      <w:r>
        <w:rPr/>
        <w:t>публикации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[година]</w:t>
      </w:r>
      <w:r>
        <w:rPr>
          <w:spacing w:val="-7"/>
        </w:rPr>
        <w:t> </w:t>
      </w:r>
      <w:r>
        <w:rPr>
          <w:spacing w:val="-5"/>
        </w:rPr>
        <w:t>г.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85" w:right="346"/>
      </w:pPr>
      <w:r>
        <w:rPr/>
        <w:t>©</w:t>
      </w:r>
      <w:r>
        <w:rPr>
          <w:spacing w:val="-11"/>
        </w:rPr>
        <w:t> </w:t>
      </w:r>
      <w:r>
        <w:rPr/>
        <w:t>[Европейска</w:t>
      </w:r>
      <w:r>
        <w:rPr>
          <w:spacing w:val="-11"/>
        </w:rPr>
        <w:t> </w:t>
      </w:r>
      <w:r>
        <w:rPr/>
        <w:t>централна</w:t>
      </w:r>
      <w:r>
        <w:rPr>
          <w:spacing w:val="-11"/>
        </w:rPr>
        <w:t> </w:t>
      </w:r>
      <w:r>
        <w:rPr/>
        <w:t>банка/орган/агенция/Европейска</w:t>
      </w:r>
      <w:r>
        <w:rPr>
          <w:spacing w:val="-11"/>
        </w:rPr>
        <w:t> </w:t>
      </w:r>
      <w:r>
        <w:rPr/>
        <w:t>общност</w:t>
      </w:r>
      <w:r>
        <w:rPr>
          <w:spacing w:val="-11"/>
        </w:rPr>
        <w:t> </w:t>
      </w:r>
      <w:r>
        <w:rPr/>
        <w:t>за</w:t>
      </w:r>
      <w:r>
        <w:rPr>
          <w:spacing w:val="-11"/>
        </w:rPr>
        <w:t> </w:t>
      </w:r>
      <w:r>
        <w:rPr/>
        <w:t>атомна</w:t>
      </w:r>
      <w:r>
        <w:rPr>
          <w:spacing w:val="-11"/>
        </w:rPr>
        <w:t> </w:t>
      </w:r>
      <w:r>
        <w:rPr/>
        <w:t>енергия/и</w:t>
      </w:r>
      <w:r>
        <w:rPr>
          <w:spacing w:val="-11"/>
        </w:rPr>
        <w:t> </w:t>
      </w:r>
      <w:r>
        <w:rPr/>
        <w:t>т.н.],</w:t>
      </w:r>
      <w:r>
        <w:rPr>
          <w:spacing w:val="-11"/>
        </w:rPr>
        <w:t> </w:t>
      </w:r>
      <w:r>
        <w:rPr/>
        <w:t>[година]</w:t>
      </w:r>
      <w:r>
        <w:rPr>
          <w:spacing w:val="-11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 w:before="1"/>
        <w:ind w:left="85"/>
      </w:pPr>
      <w:r>
        <w:rPr/>
        <w:t>©</w:t>
      </w:r>
      <w:r>
        <w:rPr>
          <w:spacing w:val="-10"/>
        </w:rPr>
        <w:t> </w:t>
      </w:r>
      <w:r>
        <w:rPr/>
        <w:t>[Европейска</w:t>
      </w:r>
      <w:r>
        <w:rPr>
          <w:spacing w:val="-10"/>
        </w:rPr>
        <w:t> </w:t>
      </w:r>
      <w:r>
        <w:rPr/>
        <w:t>централна</w:t>
      </w:r>
      <w:r>
        <w:rPr>
          <w:spacing w:val="-10"/>
        </w:rPr>
        <w:t> </w:t>
      </w:r>
      <w:r>
        <w:rPr/>
        <w:t>банка/орган/агенция/Европейска</w:t>
      </w:r>
      <w:r>
        <w:rPr>
          <w:spacing w:val="-10"/>
        </w:rPr>
        <w:t> </w:t>
      </w:r>
      <w:r>
        <w:rPr/>
        <w:t>общност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атомна</w:t>
      </w:r>
      <w:r>
        <w:rPr>
          <w:spacing w:val="-10"/>
        </w:rPr>
        <w:t> </w:t>
      </w:r>
      <w:r>
        <w:rPr/>
        <w:t>енергия/и</w:t>
      </w:r>
      <w:r>
        <w:rPr>
          <w:spacing w:val="-10"/>
        </w:rPr>
        <w:t> </w:t>
      </w:r>
      <w:r>
        <w:rPr/>
        <w:t>т.н.],</w:t>
      </w:r>
      <w:r>
        <w:rPr>
          <w:spacing w:val="-10"/>
        </w:rPr>
        <w:t> </w:t>
      </w:r>
      <w:r>
        <w:rPr/>
        <w:t>[година]</w:t>
      </w:r>
      <w:r>
        <w:rPr>
          <w:spacing w:val="-10"/>
        </w:rPr>
        <w:t> </w:t>
      </w:r>
      <w:r>
        <w:rPr/>
        <w:t>г.</w:t>
      </w:r>
      <w:r>
        <w:rPr>
          <w:spacing w:val="-10"/>
        </w:rPr>
        <w:t> </w:t>
      </w:r>
      <w:r>
        <w:rPr/>
        <w:t>Част от текста е създадена с помощта на [изкуствен интелект].</w:t>
      </w:r>
    </w:p>
    <w:p>
      <w:pPr>
        <w:pStyle w:val="BodyText"/>
        <w:spacing w:before="62"/>
      </w:pPr>
    </w:p>
    <w:p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85"/>
      </w:pPr>
      <w:r>
        <w:rPr/>
        <w:t>Възпроизвеждането</w:t>
      </w:r>
      <w:r>
        <w:rPr>
          <w:spacing w:val="-10"/>
        </w:rPr>
        <w:t> </w:t>
      </w:r>
      <w:r>
        <w:rPr/>
        <w:t>е</w:t>
      </w:r>
      <w:r>
        <w:rPr>
          <w:spacing w:val="-7"/>
        </w:rPr>
        <w:t> </w:t>
      </w:r>
      <w:r>
        <w:rPr/>
        <w:t>разрешено,</w:t>
      </w:r>
      <w:r>
        <w:rPr>
          <w:spacing w:val="-8"/>
        </w:rPr>
        <w:t> </w:t>
      </w:r>
      <w:r>
        <w:rPr/>
        <w:t>при</w:t>
      </w:r>
      <w:r>
        <w:rPr>
          <w:spacing w:val="-7"/>
        </w:rPr>
        <w:t> </w:t>
      </w:r>
      <w:r>
        <w:rPr/>
        <w:t>условие</w:t>
      </w:r>
      <w:r>
        <w:rPr>
          <w:spacing w:val="-7"/>
        </w:rPr>
        <w:t> </w:t>
      </w:r>
      <w:r>
        <w:rPr/>
        <w:t>че</w:t>
      </w:r>
      <w:r>
        <w:rPr>
          <w:spacing w:val="-8"/>
        </w:rPr>
        <w:t> </w:t>
      </w:r>
      <w:r>
        <w:rPr/>
        <w:t>се</w:t>
      </w:r>
      <w:r>
        <w:rPr>
          <w:spacing w:val="-7"/>
        </w:rPr>
        <w:t> </w:t>
      </w:r>
      <w:r>
        <w:rPr/>
        <w:t>посочи</w:t>
      </w:r>
      <w:r>
        <w:rPr>
          <w:spacing w:val="-7"/>
        </w:rPr>
        <w:t> </w:t>
      </w:r>
      <w:r>
        <w:rPr>
          <w:spacing w:val="-2"/>
        </w:rPr>
        <w:t>източникът.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[Европейската</w:t>
      </w:r>
      <w:r>
        <w:rPr>
          <w:spacing w:val="-8"/>
        </w:rPr>
        <w:t> </w:t>
      </w:r>
      <w:r>
        <w:rPr/>
        <w:t>централна банка/орган/агенция], трябва да се поиска разрешение директно от носителите на авторското право. [Европейската</w:t>
      </w:r>
      <w:r>
        <w:rPr>
          <w:spacing w:val="-9"/>
        </w:rPr>
        <w:t> </w:t>
      </w:r>
      <w:r>
        <w:rPr/>
        <w:t>централна</w:t>
      </w:r>
      <w:r>
        <w:rPr>
          <w:spacing w:val="-9"/>
        </w:rPr>
        <w:t> </w:t>
      </w:r>
      <w:r>
        <w:rPr/>
        <w:t>банка/орган/агенция]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притежава</w:t>
      </w:r>
      <w:r>
        <w:rPr>
          <w:spacing w:val="-9"/>
        </w:rPr>
        <w:t> </w:t>
      </w:r>
      <w:r>
        <w:rPr/>
        <w:t>авторското</w:t>
      </w:r>
      <w:r>
        <w:rPr>
          <w:spacing w:val="-9"/>
        </w:rPr>
        <w:t> </w:t>
      </w:r>
      <w:r>
        <w:rPr/>
        <w:t>право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отношение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следните </w:t>
      </w:r>
      <w:r>
        <w:rPr>
          <w:spacing w:val="-2"/>
        </w:rPr>
        <w:t>елементи: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0"/>
          <w:sz w:val="20"/>
        </w:rPr>
        <w:t> </w:t>
      </w:r>
      <w:r>
        <w:rPr>
          <w:sz w:val="20"/>
        </w:rPr>
        <w:t>елемент],</w:t>
      </w:r>
      <w:r>
        <w:rPr>
          <w:spacing w:val="-11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0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1"/>
          <w:sz w:val="20"/>
        </w:rPr>
        <w:t> </w:t>
      </w:r>
      <w:r>
        <w:rPr>
          <w:sz w:val="20"/>
        </w:rPr>
        <w:t>[автор],</w:t>
      </w:r>
      <w:r>
        <w:rPr>
          <w:spacing w:val="-10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4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[Европейската</w:t>
      </w:r>
      <w:r>
        <w:rPr>
          <w:spacing w:val="-8"/>
        </w:rPr>
        <w:t> </w:t>
      </w:r>
      <w:r>
        <w:rPr/>
        <w:t>централна банка/орган/агенция], трябва да се поиска разрешение директно от носителите на авторското право.</w:t>
      </w:r>
    </w:p>
    <w:p>
      <w:pPr>
        <w:pStyle w:val="BodyText"/>
        <w:spacing w:before="128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248595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57443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18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pStyle w:val="ListParagraph"/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369" w:right="4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22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607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Порталът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bg" TargetMode="External"/><Relationship Id="rId9" Type="http://schemas.openxmlformats.org/officeDocument/2006/relationships/hyperlink" Target="https://european-union.europa.eu/contact-eu/write-us_bg" TargetMode="External"/><Relationship Id="rId10" Type="http://schemas.openxmlformats.org/officeDocument/2006/relationships/hyperlink" Target="https://european-union.europa.eu/index_bg" TargetMode="External"/><Relationship Id="rId11" Type="http://schemas.openxmlformats.org/officeDocument/2006/relationships/hyperlink" Target="https://op.europa.eu/bg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bg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BG(NB: The Commission’s executive agencies have their own liminary pages.)</dc:title>
  <dcterms:created xsi:type="dcterms:W3CDTF">2025-07-15T13:20:20Z</dcterms:created>
  <dcterms:modified xsi:type="dcterms:W3CDTF">2025-07-15T13:20:20Z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