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489" w:hanging="147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ES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Manuscrito</w:t>
      </w:r>
      <w:r>
        <w:rPr>
          <w:spacing w:val="-8"/>
        </w:rPr>
        <w:t> </w:t>
      </w:r>
      <w:r>
        <w:rPr/>
        <w:t>finalizado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[mes]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[año]</w:t>
      </w:r>
    </w:p>
    <w:p>
      <w:pPr>
        <w:pStyle w:val="BodyText"/>
        <w:spacing w:line="540" w:lineRule="atLeast"/>
        <w:ind w:left="153" w:right="4165"/>
      </w:pPr>
      <w:r>
        <w:rPr/>
        <w:t>Edición</w:t>
      </w:r>
      <w:r>
        <w:rPr>
          <w:spacing w:val="-13"/>
        </w:rPr>
        <w:t> </w:t>
      </w:r>
      <w:r>
        <w:rPr/>
        <w:t>revisada/Edición</w:t>
      </w:r>
      <w:r>
        <w:rPr>
          <w:spacing w:val="-13"/>
        </w:rPr>
        <w:t> </w:t>
      </w:r>
      <w:r>
        <w:rPr/>
        <w:t>corregida/[Primera/Segunda/</w:t>
      </w:r>
      <w:r>
        <w:rPr>
          <w:i/>
        </w:rPr>
        <w:t>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13"/>
        </w:rPr>
        <w:t> </w:t>
      </w:r>
      <w:r>
        <w:rPr/>
        <w:t>edición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El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puede</w:t>
      </w:r>
      <w:r>
        <w:rPr>
          <w:spacing w:val="-3"/>
        </w:rPr>
        <w:t> </w:t>
      </w:r>
      <w:r>
        <w:rPr/>
        <w:t>considerarse</w:t>
      </w:r>
      <w:r>
        <w:rPr>
          <w:spacing w:val="-3"/>
        </w:rPr>
        <w:t> </w:t>
      </w:r>
      <w:r>
        <w:rPr/>
        <w:t>una</w:t>
      </w:r>
      <w:r>
        <w:rPr>
          <w:spacing w:val="-3"/>
        </w:rPr>
        <w:t> </w:t>
      </w:r>
      <w:r>
        <w:rPr/>
        <w:t>posición</w:t>
      </w:r>
      <w:r>
        <w:rPr>
          <w:spacing w:val="-3"/>
        </w:rPr>
        <w:t> </w:t>
      </w:r>
      <w:r>
        <w:rPr/>
        <w:t>oficial</w:t>
      </w:r>
      <w:r>
        <w:rPr>
          <w:spacing w:val="-3"/>
        </w:rPr>
        <w:t> </w:t>
      </w:r>
      <w:r>
        <w:rPr/>
        <w:t>[del</w:t>
      </w:r>
      <w:r>
        <w:rPr>
          <w:spacing w:val="-3"/>
        </w:rPr>
        <w:t> </w:t>
      </w:r>
      <w:r>
        <w:rPr/>
        <w:t>Banco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Europeo/del</w:t>
      </w:r>
      <w:r>
        <w:rPr>
          <w:spacing w:val="-3"/>
        </w:rPr>
        <w:t> </w:t>
      </w:r>
      <w:r>
        <w:rPr/>
        <w:t>órgano/de</w:t>
      </w:r>
      <w:r>
        <w:rPr>
          <w:spacing w:val="-3"/>
        </w:rPr>
        <w:t> </w:t>
      </w:r>
      <w:r>
        <w:rPr/>
        <w:t>la </w:t>
      </w:r>
      <w:r>
        <w:rPr>
          <w:spacing w:val="-2"/>
        </w:rPr>
        <w:t>agencia].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Luxemburgo:</w:t>
      </w:r>
      <w:r>
        <w:rPr>
          <w:spacing w:val="-7"/>
        </w:rPr>
        <w:t> </w:t>
      </w:r>
      <w:r>
        <w:rPr/>
        <w:t>Oficina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Publicaciones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5"/>
        </w:rPr>
        <w:t> </w:t>
      </w:r>
      <w:r>
        <w:rPr/>
        <w:t>Europea,</w:t>
      </w:r>
      <w:r>
        <w:rPr>
          <w:spacing w:val="-4"/>
        </w:rPr>
        <w:t> </w:t>
      </w:r>
      <w:r>
        <w:rPr>
          <w:spacing w:val="-2"/>
        </w:rPr>
        <w:t>[año]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1489"/>
      </w:pPr>
      <w:r>
        <w:rPr/>
        <w:t>©</w:t>
      </w:r>
      <w:r>
        <w:rPr>
          <w:spacing w:val="-5"/>
        </w:rPr>
        <w:t> </w:t>
      </w:r>
      <w:r>
        <w:rPr/>
        <w:t>[Banco</w:t>
      </w:r>
      <w:r>
        <w:rPr>
          <w:spacing w:val="-5"/>
        </w:rPr>
        <w:t> </w:t>
      </w:r>
      <w:r>
        <w:rPr/>
        <w:t>Central</w:t>
      </w:r>
      <w:r>
        <w:rPr>
          <w:spacing w:val="-5"/>
        </w:rPr>
        <w:t> </w:t>
      </w:r>
      <w:r>
        <w:rPr/>
        <w:t>Europeo/órgano/agencia/Comunidad</w:t>
      </w:r>
      <w:r>
        <w:rPr>
          <w:spacing w:val="-5"/>
        </w:rPr>
        <w:t> </w:t>
      </w:r>
      <w:r>
        <w:rPr/>
        <w:t>Europea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Energía</w:t>
      </w:r>
      <w:r>
        <w:rPr>
          <w:spacing w:val="-5"/>
        </w:rPr>
        <w:t> </w:t>
      </w:r>
      <w:r>
        <w:rPr/>
        <w:t>Atómica/etc.],</w:t>
      </w:r>
      <w:r>
        <w:rPr>
          <w:spacing w:val="-5"/>
        </w:rPr>
        <w:t> </w:t>
      </w:r>
      <w:r>
        <w:rPr/>
        <w:t>[año]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153"/>
      </w:pPr>
      <w:r>
        <w:rPr/>
        <w:t>©</w:t>
      </w:r>
      <w:r>
        <w:rPr>
          <w:spacing w:val="-5"/>
        </w:rPr>
        <w:t> </w:t>
      </w:r>
      <w:r>
        <w:rPr/>
        <w:t>[Banco</w:t>
      </w:r>
      <w:r>
        <w:rPr>
          <w:spacing w:val="-5"/>
        </w:rPr>
        <w:t> </w:t>
      </w:r>
      <w:r>
        <w:rPr/>
        <w:t>Central</w:t>
      </w:r>
      <w:r>
        <w:rPr>
          <w:spacing w:val="-5"/>
        </w:rPr>
        <w:t> </w:t>
      </w:r>
      <w:r>
        <w:rPr/>
        <w:t>Europeo/órgano/agencia/Comunidad</w:t>
      </w:r>
      <w:r>
        <w:rPr>
          <w:spacing w:val="-5"/>
        </w:rPr>
        <w:t> </w:t>
      </w:r>
      <w:r>
        <w:rPr/>
        <w:t>Europea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5"/>
        </w:rPr>
        <w:t> </w:t>
      </w:r>
      <w:r>
        <w:rPr/>
        <w:t>Energía</w:t>
      </w:r>
      <w:r>
        <w:rPr>
          <w:spacing w:val="-5"/>
        </w:rPr>
        <w:t> </w:t>
      </w:r>
      <w:r>
        <w:rPr/>
        <w:t>Atómica/etc.],</w:t>
      </w:r>
      <w:r>
        <w:rPr>
          <w:spacing w:val="-5"/>
        </w:rPr>
        <w:t> </w:t>
      </w:r>
      <w:r>
        <w:rPr/>
        <w:t>[año].</w:t>
      </w:r>
      <w:r>
        <w:rPr>
          <w:spacing w:val="-5"/>
        </w:rPr>
        <w:t> </w:t>
      </w:r>
      <w:r>
        <w:rPr/>
        <w:t>Algunos contenidos se crearon utilizando [nombre de la herramienta de IA].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Reproducción</w:t>
      </w:r>
      <w:r>
        <w:rPr>
          <w:spacing w:val="-7"/>
        </w:rPr>
        <w:t> </w:t>
      </w:r>
      <w:r>
        <w:rPr/>
        <w:t>autorizada,</w:t>
      </w:r>
      <w:r>
        <w:rPr>
          <w:spacing w:val="-7"/>
        </w:rPr>
        <w:t> </w:t>
      </w:r>
      <w:r>
        <w:rPr/>
        <w:t>con</w:t>
      </w:r>
      <w:r>
        <w:rPr>
          <w:spacing w:val="-6"/>
        </w:rPr>
        <w:t> </w:t>
      </w:r>
      <w:r>
        <w:rPr/>
        <w:t>indicación</w:t>
      </w:r>
      <w:r>
        <w:rPr>
          <w:spacing w:val="-7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7"/>
        </w:rPr>
        <w:t> </w:t>
      </w:r>
      <w:r>
        <w:rPr/>
        <w:t>fuente</w:t>
      </w:r>
      <w:r>
        <w:rPr>
          <w:spacing w:val="-6"/>
        </w:rPr>
        <w:t> </w:t>
      </w:r>
      <w:r>
        <w:rPr>
          <w:spacing w:val="-2"/>
        </w:rPr>
        <w:t>bibliográfica.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90"/>
      </w:pPr>
      <w:r>
        <w:rPr/>
        <w:t>Para</w:t>
      </w:r>
      <w:r>
        <w:rPr>
          <w:spacing w:val="-3"/>
        </w:rPr>
        <w:t> </w:t>
      </w:r>
      <w:r>
        <w:rPr/>
        <w:t>cualquier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reproducción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sean</w:t>
      </w:r>
      <w:r>
        <w:rPr>
          <w:spacing w:val="-3"/>
        </w:rPr>
        <w:t> </w:t>
      </w:r>
      <w:r>
        <w:rPr/>
        <w:t>propiedad</w:t>
      </w:r>
      <w:r>
        <w:rPr>
          <w:spacing w:val="-3"/>
        </w:rPr>
        <w:t> </w:t>
      </w:r>
      <w:r>
        <w:rPr/>
        <w:t>[del</w:t>
      </w:r>
      <w:r>
        <w:rPr>
          <w:spacing w:val="-3"/>
        </w:rPr>
        <w:t> </w:t>
      </w:r>
      <w:r>
        <w:rPr/>
        <w:t>Banco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Europeo/del</w:t>
      </w:r>
      <w:r>
        <w:rPr>
          <w:spacing w:val="-3"/>
        </w:rPr>
        <w:t> </w:t>
      </w:r>
      <w:r>
        <w:rPr/>
        <w:t>órgano/de la agencia], podrá ser necesario solicitar la autorización directamente de los respectivos titulares de derechos. [El Banco Central Europeo/El órgano/la agencia] no posee los derechos de autor de los siguientes elementos: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afectado],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7"/>
          <w:sz w:val="20"/>
        </w:rPr>
        <w:t> </w:t>
      </w:r>
      <w:r>
        <w:rPr>
          <w:sz w:val="20"/>
        </w:rPr>
        <w:t>ejemplo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afectado],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5"/>
          <w:sz w:val="20"/>
        </w:rPr>
        <w:t> </w:t>
      </w:r>
      <w:r>
        <w:rPr>
          <w:sz w:val="20"/>
        </w:rPr>
        <w:t>por</w:t>
      </w:r>
      <w:r>
        <w:rPr>
          <w:spacing w:val="-6"/>
          <w:sz w:val="20"/>
        </w:rPr>
        <w:t> </w:t>
      </w:r>
      <w:r>
        <w:rPr>
          <w:sz w:val="20"/>
        </w:rPr>
        <w:t>ejemplo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3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[elemento</w:t>
      </w:r>
      <w:r>
        <w:rPr>
          <w:spacing w:val="-3"/>
          <w:sz w:val="20"/>
        </w:rPr>
        <w:t> </w:t>
      </w:r>
      <w:r>
        <w:rPr>
          <w:sz w:val="20"/>
        </w:rPr>
        <w:t>afectado],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ejemplo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enlace a la licencia];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[ilustración/foto/etc.],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[nombre</w:t>
      </w:r>
      <w:r>
        <w:rPr>
          <w:spacing w:val="-5"/>
          <w:sz w:val="20"/>
        </w:rPr>
        <w:t> </w:t>
      </w:r>
      <w:r>
        <w:rPr>
          <w:sz w:val="20"/>
        </w:rPr>
        <w:t>del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[año],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90"/>
      </w:pPr>
      <w:r>
        <w:rPr/>
        <w:t>Para</w:t>
      </w:r>
      <w:r>
        <w:rPr>
          <w:spacing w:val="-3"/>
        </w:rPr>
        <w:t> </w:t>
      </w:r>
      <w:r>
        <w:rPr/>
        <w:t>cualquier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reproducción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sean</w:t>
      </w:r>
      <w:r>
        <w:rPr>
          <w:spacing w:val="-3"/>
        </w:rPr>
        <w:t> </w:t>
      </w:r>
      <w:r>
        <w:rPr/>
        <w:t>propiedad</w:t>
      </w:r>
      <w:r>
        <w:rPr>
          <w:spacing w:val="-3"/>
        </w:rPr>
        <w:t> </w:t>
      </w:r>
      <w:r>
        <w:rPr/>
        <w:t>[del</w:t>
      </w:r>
      <w:r>
        <w:rPr>
          <w:spacing w:val="-3"/>
        </w:rPr>
        <w:t> </w:t>
      </w:r>
      <w:r>
        <w:rPr/>
        <w:t>Banco</w:t>
      </w:r>
      <w:r>
        <w:rPr>
          <w:spacing w:val="-3"/>
        </w:rPr>
        <w:t> </w:t>
      </w:r>
      <w:r>
        <w:rPr/>
        <w:t>Central</w:t>
      </w:r>
      <w:r>
        <w:rPr>
          <w:spacing w:val="-3"/>
        </w:rPr>
        <w:t> </w:t>
      </w:r>
      <w:r>
        <w:rPr/>
        <w:t>Europeo/del</w:t>
      </w:r>
      <w:r>
        <w:rPr>
          <w:spacing w:val="-3"/>
        </w:rPr>
        <w:t> </w:t>
      </w:r>
      <w:r>
        <w:rPr/>
        <w:t>órgano/de la agencia], podrá ser necesario solicitar la autorización directamente de los respectivos titulares de derechos.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1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251147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77541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9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Precio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7"/>
        </w:rPr>
        <w:t> </w:t>
      </w:r>
      <w:r>
        <w:rPr/>
        <w:t>excluido):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Ponerse</w:t>
      </w:r>
      <w:r>
        <w:rPr>
          <w:spacing w:val="-7"/>
        </w:rPr>
        <w:t> </w:t>
      </w:r>
      <w:r>
        <w:rPr/>
        <w:t>en</w:t>
      </w:r>
      <w:r>
        <w:rPr>
          <w:spacing w:val="-4"/>
        </w:rPr>
        <w:t> </w:t>
      </w:r>
      <w:r>
        <w:rPr/>
        <w:t>contacto</w:t>
      </w:r>
      <w:r>
        <w:rPr>
          <w:spacing w:val="-5"/>
        </w:rPr>
        <w:t> </w:t>
      </w:r>
      <w:r>
        <w:rPr/>
        <w:t>con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persona</w:t>
      </w:r>
    </w:p>
    <w:p>
      <w:pPr>
        <w:spacing w:line="290" w:lineRule="auto" w:before="166"/>
        <w:ind w:left="437" w:right="408" w:firstLine="0"/>
        <w:jc w:val="left"/>
        <w:rPr>
          <w:sz w:val="22"/>
        </w:rPr>
      </w:pP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existen</w:t>
      </w:r>
      <w:r>
        <w:rPr>
          <w:spacing w:val="-3"/>
          <w:sz w:val="22"/>
        </w:rPr>
        <w:t> </w:t>
      </w:r>
      <w:r>
        <w:rPr>
          <w:sz w:val="22"/>
        </w:rPr>
        <w:t>cientos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línea</w:t>
      </w:r>
      <w:r>
        <w:rPr>
          <w:spacing w:val="-3"/>
          <w:sz w:val="22"/>
        </w:rPr>
        <w:t> </w:t>
      </w:r>
      <w:r>
        <w:rPr>
          <w:sz w:val="22"/>
        </w:rPr>
        <w:t>la dirección del centro más cercano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teléfono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por</w:t>
      </w:r>
      <w:r>
        <w:rPr>
          <w:spacing w:val="-3"/>
        </w:rPr>
        <w:t> </w:t>
      </w:r>
      <w:r>
        <w:rPr>
          <w:spacing w:val="-2"/>
        </w:rPr>
        <w:t>escrito</w:t>
      </w:r>
    </w:p>
    <w:p>
      <w:pPr>
        <w:spacing w:line="290" w:lineRule="auto" w:before="167"/>
        <w:ind w:left="437" w:right="295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un</w:t>
      </w:r>
      <w:r>
        <w:rPr>
          <w:spacing w:val="-3"/>
          <w:sz w:val="22"/>
        </w:rPr>
        <w:t> </w:t>
      </w:r>
      <w:r>
        <w:rPr>
          <w:sz w:val="22"/>
        </w:rPr>
        <w:t>servicio</w:t>
      </w:r>
      <w:r>
        <w:rPr>
          <w:spacing w:val="-3"/>
          <w:sz w:val="22"/>
        </w:rPr>
        <w:t> </w:t>
      </w:r>
      <w:r>
        <w:rPr>
          <w:sz w:val="22"/>
        </w:rPr>
        <w:t>que</w:t>
      </w:r>
      <w:r>
        <w:rPr>
          <w:spacing w:val="-3"/>
          <w:sz w:val="22"/>
        </w:rPr>
        <w:t> </w:t>
      </w:r>
      <w:r>
        <w:rPr>
          <w:sz w:val="22"/>
        </w:rPr>
        <w:t>responde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sus</w:t>
      </w:r>
      <w:r>
        <w:rPr>
          <w:spacing w:val="-3"/>
          <w:sz w:val="22"/>
        </w:rPr>
        <w:t> </w:t>
      </w:r>
      <w:r>
        <w:rPr>
          <w:sz w:val="22"/>
        </w:rPr>
        <w:t>preguntas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acceder a él: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487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número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(algunos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pueden</w:t>
      </w:r>
      <w:r>
        <w:rPr>
          <w:spacing w:val="-4"/>
          <w:sz w:val="22"/>
        </w:rPr>
        <w:t> </w:t>
      </w:r>
      <w:r>
        <w:rPr>
          <w:sz w:val="22"/>
        </w:rPr>
        <w:t>cobrar</w:t>
      </w:r>
      <w:r>
        <w:rPr>
          <w:spacing w:val="-4"/>
          <w:sz w:val="22"/>
        </w:rPr>
        <w:t> </w:t>
      </w:r>
      <w:r>
        <w:rPr>
          <w:sz w:val="22"/>
        </w:rPr>
        <w:t>por</w:t>
      </w:r>
      <w:r>
        <w:rPr>
          <w:spacing w:val="-4"/>
          <w:sz w:val="22"/>
        </w:rPr>
        <w:t> </w:t>
      </w:r>
      <w:r>
        <w:rPr>
          <w:sz w:val="22"/>
        </w:rPr>
        <w:t>las </w:t>
      </w:r>
      <w:r>
        <w:rPr>
          <w:spacing w:val="-2"/>
          <w:sz w:val="22"/>
        </w:rPr>
        <w:t>llamadas);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7"/>
          <w:sz w:val="22"/>
        </w:rPr>
        <w:t> </w:t>
      </w:r>
      <w:r>
        <w:rPr>
          <w:sz w:val="22"/>
        </w:rPr>
        <w:t>el</w:t>
      </w:r>
      <w:r>
        <w:rPr>
          <w:spacing w:val="-5"/>
          <w:sz w:val="22"/>
        </w:rPr>
        <w:t> </w:t>
      </w:r>
      <w:r>
        <w:rPr>
          <w:sz w:val="22"/>
        </w:rPr>
        <w:t>número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centralita: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utilizando</w:t>
      </w:r>
      <w:r>
        <w:rPr>
          <w:spacing w:val="-8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siguiente</w:t>
      </w:r>
      <w:r>
        <w:rPr>
          <w:spacing w:val="-8"/>
          <w:sz w:val="22"/>
        </w:rPr>
        <w:t> </w:t>
      </w:r>
      <w:r>
        <w:rPr>
          <w:sz w:val="22"/>
        </w:rPr>
        <w:t>formulario:</w:t>
      </w:r>
      <w:r>
        <w:rPr>
          <w:spacing w:val="-7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us_es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Buscar</w:t>
      </w:r>
      <w:r>
        <w:rPr>
          <w:spacing w:val="-6"/>
        </w:rPr>
        <w:t> </w:t>
      </w:r>
      <w:r>
        <w:rPr/>
        <w:t>información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línea</w:t>
      </w:r>
    </w:p>
    <w:p>
      <w:pPr>
        <w:spacing w:line="290" w:lineRule="auto" w:before="166"/>
        <w:ind w:left="437" w:right="408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información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las</w:t>
      </w:r>
      <w:r>
        <w:rPr>
          <w:spacing w:val="-3"/>
          <w:sz w:val="22"/>
        </w:rPr>
        <w:t> </w:t>
      </w:r>
      <w:r>
        <w:rPr>
          <w:sz w:val="22"/>
        </w:rPr>
        <w:t>lenguas</w:t>
      </w:r>
      <w:r>
        <w:rPr>
          <w:spacing w:val="-3"/>
          <w:sz w:val="22"/>
        </w:rPr>
        <w:t> </w:t>
      </w:r>
      <w:r>
        <w:rPr>
          <w:sz w:val="22"/>
        </w:rPr>
        <w:t>oficiales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en el sitio web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Publicaciones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5"/>
          <w:sz w:val="22"/>
        </w:rPr>
        <w:t> </w:t>
      </w:r>
      <w:r>
        <w:rPr>
          <w:sz w:val="22"/>
        </w:rPr>
        <w:t>ver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solicitar</w:t>
      </w:r>
      <w:r>
        <w:rPr>
          <w:spacing w:val="-3"/>
          <w:sz w:val="22"/>
        </w:rPr>
        <w:t> </w:t>
      </w:r>
      <w:r>
        <w:rPr>
          <w:sz w:val="22"/>
        </w:rPr>
        <w:t>publicaciones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en:</w:t>
      </w:r>
      <w:r>
        <w:rPr>
          <w:spacing w:val="-3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op.europa.eu/es/publications</w:t>
        </w:r>
      </w:hyperlink>
    </w:p>
    <w:p>
      <w:pPr>
        <w:spacing w:line="290" w:lineRule="auto" w:before="166"/>
        <w:ind w:left="437" w:right="408" w:firstLine="0"/>
        <w:jc w:val="left"/>
        <w:rPr>
          <w:sz w:val="22"/>
        </w:rPr>
      </w:pPr>
      <w:r>
        <w:rPr>
          <w:sz w:val="22"/>
        </w:rPr>
        <w:t>Si desea obtener varios ejemplares de las publicaciones gratuitas, puede contactar con Europe Direct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con</w:t>
      </w:r>
      <w:r>
        <w:rPr>
          <w:spacing w:val="-6"/>
          <w:sz w:val="22"/>
        </w:rPr>
        <w:t> </w:t>
      </w:r>
      <w:r>
        <w:rPr>
          <w:sz w:val="22"/>
        </w:rPr>
        <w:t>su</w:t>
      </w:r>
      <w:r>
        <w:rPr>
          <w:spacing w:val="-6"/>
          <w:sz w:val="22"/>
        </w:rPr>
        <w:t> </w:t>
      </w:r>
      <w:r>
        <w:rPr>
          <w:sz w:val="22"/>
        </w:rPr>
        <w:t>centro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documentación</w:t>
      </w:r>
      <w:r>
        <w:rPr>
          <w:spacing w:val="-6"/>
          <w:sz w:val="22"/>
        </w:rPr>
        <w:t> </w:t>
      </w:r>
      <w:r>
        <w:rPr>
          <w:sz w:val="22"/>
        </w:rPr>
        <w:t>local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Derecho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/>
        <w:t>y</w:t>
      </w:r>
      <w:r>
        <w:rPr>
          <w:spacing w:val="-5"/>
        </w:rPr>
        <w:t> </w:t>
      </w:r>
      <w:r>
        <w:rPr/>
        <w:t>documentos</w:t>
      </w:r>
      <w:r>
        <w:rPr>
          <w:spacing w:val="-4"/>
        </w:rPr>
        <w:t> </w:t>
      </w:r>
      <w:r>
        <w:rPr>
          <w:spacing w:val="-2"/>
        </w:rPr>
        <w:t>conexos</w:t>
      </w:r>
    </w:p>
    <w:p>
      <w:pPr>
        <w:spacing w:line="290" w:lineRule="auto" w:before="167"/>
        <w:ind w:left="437" w:right="757" w:firstLine="0"/>
        <w:jc w:val="left"/>
        <w:rPr>
          <w:sz w:val="22"/>
        </w:rPr>
      </w:pPr>
      <w:r>
        <w:rPr>
          <w:sz w:val="22"/>
        </w:rPr>
        <w:t>Para acceder a la información jurídica de la Unión Europea, incluido todo el Derecho de la Unión</w:t>
      </w:r>
      <w:r>
        <w:rPr>
          <w:spacing w:val="-4"/>
          <w:sz w:val="22"/>
        </w:rPr>
        <w:t> </w:t>
      </w:r>
      <w:r>
        <w:rPr>
          <w:sz w:val="22"/>
        </w:rPr>
        <w:t>desde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todas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versiones</w:t>
      </w:r>
      <w:r>
        <w:rPr>
          <w:spacing w:val="-4"/>
          <w:sz w:val="22"/>
        </w:rPr>
        <w:t> </w:t>
      </w:r>
      <w:r>
        <w:rPr>
          <w:sz w:val="22"/>
        </w:rPr>
        <w:t>lingüísticas</w:t>
      </w:r>
      <w:r>
        <w:rPr>
          <w:spacing w:val="-4"/>
          <w:sz w:val="22"/>
        </w:rPr>
        <w:t> </w:t>
      </w:r>
      <w:r>
        <w:rPr>
          <w:sz w:val="22"/>
        </w:rPr>
        <w:t>oficiales,</w:t>
      </w:r>
      <w:r>
        <w:rPr>
          <w:spacing w:val="-4"/>
          <w:sz w:val="22"/>
        </w:rPr>
        <w:t> </w:t>
      </w: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consultar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Datos</w:t>
      </w:r>
      <w:r>
        <w:rPr>
          <w:spacing w:val="-5"/>
        </w:rPr>
        <w:t> </w:t>
      </w:r>
      <w:r>
        <w:rPr/>
        <w:t>abiertos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spacing w:line="290" w:lineRule="auto" w:before="166"/>
        <w:ind w:left="437" w:right="295" w:firstLine="0"/>
        <w:jc w:val="left"/>
        <w:rPr>
          <w:sz w:val="22"/>
        </w:rPr>
      </w:pP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permite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abiertos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instituciones,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órganos y organismos de la Unión Europea, que pueden descargarse y reutilizarse gratuitamente tanto para fines comerciales como no comerciales. El portal también permite acceder a un gran número de conjuntos de datos procedentes de los países europeos.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es-E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es" TargetMode="External"/><Relationship Id="rId9" Type="http://schemas.openxmlformats.org/officeDocument/2006/relationships/hyperlink" Target="https://european-union.europa.eu/contact-eu/write-us_es" TargetMode="External"/><Relationship Id="rId10" Type="http://schemas.openxmlformats.org/officeDocument/2006/relationships/hyperlink" Target="https://european-union.europa.eu/index_es" TargetMode="External"/><Relationship Id="rId11" Type="http://schemas.openxmlformats.org/officeDocument/2006/relationships/hyperlink" Target="https://op.europa.eu/es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es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ES(NB: The Commission’s executive agencies have their own liminary pages.)</dc:title>
  <dcterms:created xsi:type="dcterms:W3CDTF">2025-04-28T11:40:04Z</dcterms:created>
  <dcterms:modified xsi:type="dcterms:W3CDTF">2025-04-28T11:40:04Z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