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7"/>
        <w:ind w:left="160"/>
      </w:pPr>
      <w:bookmarkStart w:name="European Commission – MT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MT</w:t>
      </w:r>
    </w:p>
    <w:p>
      <w:pPr>
        <w:pStyle w:val="BodyText"/>
        <w:spacing w:before="97"/>
      </w:pPr>
    </w:p>
    <w:p>
      <w:pPr>
        <w:spacing w:before="1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[stampatur]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[pajjiż]</w:t>
      </w:r>
    </w:p>
    <w:p>
      <w:pPr>
        <w:pStyle w:val="BodyText"/>
        <w:spacing w:before="97"/>
        <w:rPr>
          <w:i/>
        </w:rPr>
      </w:pPr>
    </w:p>
    <w:p>
      <w:pPr>
        <w:pStyle w:val="BodyText"/>
        <w:spacing w:before="1"/>
        <w:ind w:left="160"/>
      </w:pPr>
      <w:r>
        <w:rPr/>
        <w:t>Il-manuskritt</w:t>
      </w:r>
      <w:r>
        <w:rPr>
          <w:spacing w:val="-6"/>
        </w:rPr>
        <w:t> </w:t>
      </w:r>
      <w:r>
        <w:rPr/>
        <w:t>tlesta</w:t>
      </w:r>
      <w:r>
        <w:rPr>
          <w:spacing w:val="-6"/>
        </w:rPr>
        <w:t> </w:t>
      </w:r>
      <w:r>
        <w:rPr/>
        <w:t>f’[Xahar]</w:t>
      </w:r>
      <w:r>
        <w:rPr>
          <w:spacing w:val="-5"/>
        </w:rPr>
        <w:t> </w:t>
      </w:r>
      <w:r>
        <w:rPr>
          <w:spacing w:val="-2"/>
        </w:rPr>
        <w:t>[Sena]</w:t>
      </w:r>
    </w:p>
    <w:p>
      <w:pPr>
        <w:pStyle w:val="BodyText"/>
        <w:spacing w:before="98"/>
      </w:pPr>
    </w:p>
    <w:p>
      <w:pPr>
        <w:pStyle w:val="BodyText"/>
        <w:ind w:left="160"/>
        <w:rPr>
          <w:i/>
        </w:rPr>
      </w:pPr>
      <w:r>
        <w:rPr/>
        <w:t>Edizzjoni</w:t>
      </w:r>
      <w:r>
        <w:rPr>
          <w:spacing w:val="-13"/>
        </w:rPr>
        <w:t> </w:t>
      </w:r>
      <w:r>
        <w:rPr/>
        <w:t>riveduta/Edizzjoni</w:t>
      </w:r>
      <w:r>
        <w:rPr>
          <w:spacing w:val="-13"/>
        </w:rPr>
        <w:t> </w:t>
      </w:r>
      <w:r>
        <w:rPr/>
        <w:t>rettifikata/Edizzjoni</w:t>
      </w:r>
      <w:r>
        <w:rPr>
          <w:spacing w:val="-13"/>
        </w:rPr>
        <w:t> </w:t>
      </w:r>
      <w:r>
        <w:rPr/>
        <w:t>Nru</w:t>
      </w:r>
      <w:r>
        <w:rPr>
          <w:spacing w:val="-12"/>
        </w:rPr>
        <w:t> </w:t>
      </w:r>
      <w:r>
        <w:rPr>
          <w:i/>
          <w:spacing w:val="-10"/>
        </w:rPr>
        <w:t>n</w:t>
      </w:r>
    </w:p>
    <w:p>
      <w:pPr>
        <w:pStyle w:val="BodyText"/>
        <w:spacing w:before="85"/>
        <w:rPr>
          <w:i/>
        </w:rPr>
      </w:pPr>
    </w:p>
    <w:p>
      <w:pPr>
        <w:pStyle w:val="BodyText"/>
        <w:ind w:left="160"/>
      </w:pPr>
      <w:r>
        <w:rPr>
          <w:color w:val="FF0000"/>
        </w:rPr>
        <w:t>Legal</w:t>
      </w:r>
      <w:r>
        <w:rPr>
          <w:color w:val="FF0000"/>
          <w:spacing w:val="-3"/>
        </w:rPr>
        <w:t> </w:t>
      </w:r>
      <w:r>
        <w:rPr>
          <w:color w:val="FF0000"/>
        </w:rPr>
        <w:t>disclaimer</w:t>
      </w:r>
      <w:r>
        <w:rPr>
          <w:color w:val="FF0000"/>
          <w:spacing w:val="-3"/>
        </w:rPr>
        <w:t>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1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line="583" w:lineRule="auto" w:before="104"/>
        <w:ind w:left="160" w:right="1783"/>
      </w:pPr>
      <w:r>
        <w:rPr/>
        <w:t>Dan</w:t>
      </w:r>
      <w:r>
        <w:rPr>
          <w:spacing w:val="-5"/>
        </w:rPr>
        <w:t> </w:t>
      </w:r>
      <w:r>
        <w:rPr/>
        <w:t>id-dokument</w:t>
      </w:r>
      <w:r>
        <w:rPr>
          <w:spacing w:val="-5"/>
        </w:rPr>
        <w:t> </w:t>
      </w:r>
      <w:r>
        <w:rPr/>
        <w:t>ma</w:t>
      </w:r>
      <w:r>
        <w:rPr>
          <w:spacing w:val="-5"/>
        </w:rPr>
        <w:t> </w:t>
      </w:r>
      <w:r>
        <w:rPr/>
        <w:t>jistax</w:t>
      </w:r>
      <w:r>
        <w:rPr>
          <w:spacing w:val="-5"/>
        </w:rPr>
        <w:t> </w:t>
      </w:r>
      <w:r>
        <w:rPr/>
        <w:t>jitqies</w:t>
      </w:r>
      <w:r>
        <w:rPr>
          <w:spacing w:val="-5"/>
        </w:rPr>
        <w:t> </w:t>
      </w:r>
      <w:r>
        <w:rPr/>
        <w:t>li</w:t>
      </w:r>
      <w:r>
        <w:rPr>
          <w:spacing w:val="-5"/>
        </w:rPr>
        <w:t> </w:t>
      </w:r>
      <w:r>
        <w:rPr/>
        <w:t>jikkostitwixxi</w:t>
      </w:r>
      <w:r>
        <w:rPr>
          <w:spacing w:val="-5"/>
        </w:rPr>
        <w:t> </w:t>
      </w:r>
      <w:r>
        <w:rPr/>
        <w:t>pożizzjoni</w:t>
      </w:r>
      <w:r>
        <w:rPr>
          <w:spacing w:val="-5"/>
        </w:rPr>
        <w:t> </w:t>
      </w:r>
      <w:r>
        <w:rPr/>
        <w:t>uffiċjali</w:t>
      </w:r>
      <w:r>
        <w:rPr>
          <w:spacing w:val="-5"/>
        </w:rPr>
        <w:t> </w:t>
      </w:r>
      <w:r>
        <w:rPr/>
        <w:t>tal-Kummissjoni</w:t>
      </w:r>
      <w:r>
        <w:rPr>
          <w:spacing w:val="-5"/>
        </w:rPr>
        <w:t> </w:t>
      </w:r>
      <w:r>
        <w:rPr/>
        <w:t>Ewropea. il-Lussemburgu: l-Uffiċċju tal-Pubblikazzjonijiet tal-Unjoni Ewropea, [is-sena]</w:t>
      </w:r>
    </w:p>
    <w:p>
      <w:pPr>
        <w:pStyle w:val="BodyText"/>
        <w:spacing w:line="228" w:lineRule="exact"/>
        <w:ind w:left="160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34"/>
        <w:ind w:left="160"/>
      </w:pPr>
      <w:r>
        <w:rPr/>
        <w:t>©</w:t>
      </w:r>
      <w:r>
        <w:rPr>
          <w:spacing w:val="-7"/>
        </w:rPr>
        <w:t> </w:t>
      </w:r>
      <w:r>
        <w:rPr/>
        <w:t>l-Unjoni</w:t>
      </w:r>
      <w:r>
        <w:rPr>
          <w:spacing w:val="-7"/>
        </w:rPr>
        <w:t> </w:t>
      </w:r>
      <w:r>
        <w:rPr/>
        <w:t>Ewropea,</w:t>
      </w:r>
      <w:r>
        <w:rPr>
          <w:spacing w:val="-7"/>
        </w:rPr>
        <w:t> </w:t>
      </w:r>
      <w:r>
        <w:rPr/>
        <w:t>[is-</w:t>
      </w:r>
      <w:r>
        <w:rPr>
          <w:spacing w:val="-2"/>
        </w:rPr>
        <w:t>sena]</w:t>
      </w:r>
    </w:p>
    <w:p>
      <w:pPr>
        <w:pStyle w:val="BodyText"/>
        <w:rPr>
          <w:sz w:val="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66443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003pt;margin-top:5.231735pt;width:90pt;height:31.5pt;mso-position-horizontal-relative:page;mso-position-vertical-relative:paragraph;z-index:-15728640;mso-wrap-distance-left:0;mso-wrap-distance-right:0" id="docshapegroup1" coordorigin="1020,105" coordsize="1800,630">
                <v:shape style="position:absolute;left:1024;top:112;width:1789;height:611" id="docshape2" coordorigin="1025,112" coordsize="1789,611" path="m2811,723l1025,723,1025,161,1026,142,1031,127,1044,116,1068,112,2768,115,2785,116,2799,120,2809,134,2813,163,2811,723xe" filled="true" fillcolor="#aab2ab" stroked="false">
                  <v:path arrowok="t"/>
                  <v:fill type="solid"/>
                </v:shape>
                <v:shape style="position:absolute;left:1020;top:104;width:1800;height:630" id="docshape3" coordorigin="1020,105" coordsize="1800,630" path="m2817,735l1024,735,1020,731,1020,138,1023,125,1030,115,1041,107,1054,105,2787,105,2800,107,2811,115,2814,120,1044,120,1036,128,1036,547,1096,547,1138,604,1192,647,1257,675,1330,685,2820,685,2820,731,2817,735xm2820,685l1330,685,1402,675,1467,647,1521,604,1563,547,2805,547,2805,128,2797,120,2814,120,2818,125,2820,138,2820,685xe" filled="true" fillcolor="#000000" stroked="false">
                  <v:path arrowok="t"/>
                  <v:fill type="solid"/>
                </v:shape>
                <v:shape style="position:absolute;left:1125;top:194;width:1138;height:502" id="docshape4" coordorigin="1125,194" coordsize="1138,502" path="m1534,399l1518,319,1474,254,1409,210,1330,194,1250,210,1185,254,1141,319,1125,399,1141,479,1185,544,1250,587,1330,603,1409,587,1474,543,1518,478,1534,399xm2164,671l2164,660,2163,655,2160,651,2157,646,2152,643,2146,641,2150,639,2154,636,2154,636,2158,630,2159,625,2159,616,2159,613,2159,612,2156,606,2153,603,2148,599,2144,598,2142,597,2142,660,2142,668,2142,670,2140,673,2139,674,2136,676,2134,677,2130,678,2128,678,2103,678,2103,651,2131,651,2135,652,2141,656,2142,660,2142,597,2138,597,2138,622,2138,628,2137,631,2132,635,2129,636,2103,636,2103,613,2126,613,2131,614,2132,614,2135,616,2136,617,2138,620,2138,622,2138,597,2137,596,2132,596,2081,596,2081,695,2133,695,2138,695,2146,692,2150,691,2157,686,2159,683,2162,678,2162,678,2163,676,2164,671xm2263,596l2239,596,2216,635,2193,596,2168,596,2204,657,2204,695,2226,695,2226,657,2263,596xe" filled="true" fillcolor="#ffffff" stroked="false">
                  <v:path arrowok="t"/>
                  <v:fill type="solid"/>
                </v:shape>
                <v:shape style="position:absolute;left:1095;top:164;width:469;height:470" id="docshape5" coordorigin="1095,164" coordsize="469,470" path="m1329,633l1283,629,1283,629,1240,616,1240,616,1201,594,1165,564,1134,528,1113,488,1100,445,1095,399,1100,352,1113,309,1134,269,1165,232,1200,202,1240,181,1283,168,1329,164,1377,168,1420,181,1460,202,1465,206,1330,206,1292,210,1257,220,1225,238,1195,263,1170,293,1152,326,1141,361,1138,398,1138,399,1141,433,1141,435,1141,436,1152,472,1170,504,1195,534,1224,559,1257,576,1256,576,1292,587,1292,587,1330,591,1464,591,1460,594,1420,616,1376,629,1329,633xm1464,591l1330,591,1368,587,1404,576,1437,558,1467,533,1491,505,1508,473,1519,438,1522,399,1519,363,1519,361,1518,360,1508,324,1490,292,1466,262,1436,238,1404,220,1369,210,1330,206,1465,206,1496,232,1526,268,1547,308,1560,351,1564,398,1564,399,1560,445,1560,446,1547,489,1526,528,1497,564,1464,591xm1266,472l1266,472,1251,470,1238,467,1226,461,1216,452,1207,442,1201,429,1198,415,1197,399,1198,383,1201,369,1208,356,1216,346,1227,337,1238,331,1251,327,1267,326,1264,326,1285,328,1302,334,1316,345,1325,357,1270,357,1256,359,1247,367,1241,380,1239,398,1241,417,1247,430,1256,438,1256,438,1270,440,1324,440,1316,451,1302,462,1285,469,1266,472xm1402,472l1402,472,1387,470,1373,467,1362,461,1351,452,1343,442,1337,429,1333,415,1332,399,1333,383,1337,369,1343,356,1352,346,1362,337,1373,331,1386,327,1402,326,1399,326,1421,328,1438,334,1452,345,1460,357,1405,357,1391,359,1381,367,1375,380,1374,398,1375,417,1381,430,1391,438,1391,438,1405,440,1459,440,1452,451,1438,462,1421,469,1402,472xm1296,376l1290,363,1281,357,1325,357,1327,360,1296,376xm1431,376l1425,363,1416,357,1460,357,1463,360,1431,376xm1324,440l1283,440,1293,433,1299,420,1328,435,1324,440xm1459,440l1419,440,1428,433,1434,420,1463,435,1459,440xe" filled="true" fillcolor="#000000" stroked="false">
                  <v:path arrowok="t"/>
                  <v:fill type="solid"/>
                </v:shape>
                <v:shape style="position:absolute;left:1990;top:155;width:348;height:348" type="#_x0000_t75" id="docshape6" stroked="false">
                  <v:imagedata r:id="rId5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line="244" w:lineRule="auto" w:before="76"/>
        <w:ind w:left="160" w:right="989"/>
        <w:jc w:val="both"/>
      </w:pPr>
      <w:r>
        <w:rPr/>
        <w:t>Il-politika</w:t>
      </w:r>
      <w:r>
        <w:rPr>
          <w:spacing w:val="-14"/>
        </w:rPr>
        <w:t> </w:t>
      </w:r>
      <w:r>
        <w:rPr/>
        <w:t>dwar</w:t>
      </w:r>
      <w:r>
        <w:rPr>
          <w:spacing w:val="-14"/>
        </w:rPr>
        <w:t> </w:t>
      </w:r>
      <w:r>
        <w:rPr/>
        <w:t>l‑użu</w:t>
      </w:r>
      <w:r>
        <w:rPr>
          <w:spacing w:val="-14"/>
        </w:rPr>
        <w:t> </w:t>
      </w:r>
      <w:r>
        <w:rPr/>
        <w:t>mill-ġdid</w:t>
      </w:r>
      <w:r>
        <w:rPr>
          <w:spacing w:val="-14"/>
        </w:rPr>
        <w:t> </w:t>
      </w:r>
      <w:r>
        <w:rPr/>
        <w:t>tal-Kummissjoni</w:t>
      </w:r>
      <w:r>
        <w:rPr>
          <w:spacing w:val="-14"/>
        </w:rPr>
        <w:t> </w:t>
      </w:r>
      <w:r>
        <w:rPr/>
        <w:t>hi</w:t>
      </w:r>
      <w:r>
        <w:rPr>
          <w:spacing w:val="-14"/>
        </w:rPr>
        <w:t> </w:t>
      </w:r>
      <w:r>
        <w:rPr/>
        <w:t>implimentata</w:t>
      </w:r>
      <w:r>
        <w:rPr>
          <w:spacing w:val="-14"/>
        </w:rPr>
        <w:t> </w:t>
      </w:r>
      <w:r>
        <w:rPr/>
        <w:t>permezz</w:t>
      </w:r>
      <w:r>
        <w:rPr>
          <w:spacing w:val="-14"/>
        </w:rPr>
        <w:t> </w:t>
      </w:r>
      <w:r>
        <w:rPr/>
        <w:t>tad-Deċiżjoni</w:t>
      </w:r>
      <w:r>
        <w:rPr>
          <w:spacing w:val="-14"/>
        </w:rPr>
        <w:t> </w:t>
      </w:r>
      <w:r>
        <w:rPr/>
        <w:t>tal-Kummissjoni 2011/833/UE</w:t>
      </w:r>
      <w:r>
        <w:rPr>
          <w:spacing w:val="-12"/>
        </w:rPr>
        <w:t> </w:t>
      </w:r>
      <w:r>
        <w:rPr/>
        <w:t>tat-12</w:t>
      </w:r>
      <w:r>
        <w:rPr>
          <w:spacing w:val="-10"/>
        </w:rPr>
        <w:t> </w:t>
      </w:r>
      <w:r>
        <w:rPr/>
        <w:t>ta’</w:t>
      </w:r>
      <w:r>
        <w:rPr>
          <w:spacing w:val="-10"/>
        </w:rPr>
        <w:t> </w:t>
      </w:r>
      <w:r>
        <w:rPr/>
        <w:t>Diċembru</w:t>
      </w:r>
      <w:r>
        <w:rPr>
          <w:spacing w:val="-10"/>
        </w:rPr>
        <w:t> </w:t>
      </w:r>
      <w:r>
        <w:rPr/>
        <w:t>2011</w:t>
      </w:r>
      <w:r>
        <w:rPr>
          <w:spacing w:val="-10"/>
        </w:rPr>
        <w:t> </w:t>
      </w:r>
      <w:r>
        <w:rPr/>
        <w:t>dwar</w:t>
      </w:r>
      <w:r>
        <w:rPr>
          <w:spacing w:val="-10"/>
        </w:rPr>
        <w:t> </w:t>
      </w:r>
      <w:r>
        <w:rPr/>
        <w:t>l‑użu</w:t>
      </w:r>
      <w:r>
        <w:rPr>
          <w:spacing w:val="-10"/>
        </w:rPr>
        <w:t> </w:t>
      </w:r>
      <w:r>
        <w:rPr/>
        <w:t>mill-ġdid</w:t>
      </w:r>
      <w:r>
        <w:rPr>
          <w:spacing w:val="-10"/>
        </w:rPr>
        <w:t> </w:t>
      </w:r>
      <w:r>
        <w:rPr/>
        <w:t>ta’</w:t>
      </w:r>
      <w:r>
        <w:rPr>
          <w:spacing w:val="-10"/>
        </w:rPr>
        <w:t> </w:t>
      </w:r>
      <w:r>
        <w:rPr/>
        <w:t>dokumenti</w:t>
      </w:r>
      <w:r>
        <w:rPr>
          <w:spacing w:val="-10"/>
        </w:rPr>
        <w:t> </w:t>
      </w:r>
      <w:r>
        <w:rPr/>
        <w:t>tal-Kummissjoni</w:t>
      </w:r>
      <w:r>
        <w:rPr>
          <w:spacing w:val="-10"/>
        </w:rPr>
        <w:t> </w:t>
      </w:r>
      <w:r>
        <w:rPr/>
        <w:t>(ĠU</w:t>
      </w:r>
      <w:r>
        <w:rPr>
          <w:spacing w:val="-10"/>
        </w:rPr>
        <w:t> </w:t>
      </w:r>
      <w:r>
        <w:rPr/>
        <w:t>L</w:t>
      </w:r>
      <w:r>
        <w:rPr>
          <w:spacing w:val="-10"/>
        </w:rPr>
        <w:t> </w:t>
      </w:r>
      <w:r>
        <w:rPr/>
        <w:t>330, 14.12.2011, p. 39, ELI: </w:t>
      </w:r>
      <w:hyperlink r:id="rId6">
        <w:r>
          <w:rPr>
            <w:color w:val="337AB7"/>
            <w:u w:val="single" w:color="337AB7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8"/>
        <w:ind w:left="160"/>
      </w:pPr>
      <w:r>
        <w:rPr/>
        <w:t>Għajr jekk ikun indikat mod ieħor, l‑użu mill-ġdid ta’ dan id-dokument huwa awtorizzat bil-liċenzja Creative Commons</w:t>
      </w:r>
      <w:r>
        <w:rPr>
          <w:spacing w:val="-5"/>
        </w:rPr>
        <w:t> </w:t>
      </w:r>
      <w:r>
        <w:rPr/>
        <w:t>Attribution</w:t>
      </w:r>
      <w:r>
        <w:rPr>
          <w:spacing w:val="-5"/>
        </w:rPr>
        <w:t> </w:t>
      </w:r>
      <w:r>
        <w:rPr/>
        <w:t>4.0</w:t>
      </w:r>
      <w:r>
        <w:rPr>
          <w:spacing w:val="-5"/>
        </w:rPr>
        <w:t> </w:t>
      </w:r>
      <w:r>
        <w:rPr/>
        <w:t>International</w:t>
      </w:r>
      <w:r>
        <w:rPr>
          <w:spacing w:val="-5"/>
        </w:rPr>
        <w:t> </w:t>
      </w:r>
      <w:r>
        <w:rPr/>
        <w:t>(CC</w:t>
      </w:r>
      <w:r>
        <w:rPr>
          <w:spacing w:val="-5"/>
        </w:rPr>
        <w:t> </w:t>
      </w:r>
      <w:r>
        <w:rPr/>
        <w:t>BY</w:t>
      </w:r>
      <w:r>
        <w:rPr>
          <w:spacing w:val="-5"/>
        </w:rPr>
        <w:t> </w:t>
      </w:r>
      <w:r>
        <w:rPr/>
        <w:t>4.0)</w:t>
      </w:r>
      <w:r>
        <w:rPr>
          <w:spacing w:val="-5"/>
        </w:rPr>
        <w:t> </w:t>
      </w:r>
      <w:r>
        <w:rPr/>
        <w:t>(</w:t>
      </w:r>
      <w:hyperlink r:id="rId7">
        <w:r>
          <w:rPr>
            <w:color w:val="337AB7"/>
            <w:u w:val="single" w:color="337AB7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5"/>
          <w:u w:val="none"/>
        </w:rPr>
        <w:t> </w:t>
      </w:r>
      <w:r>
        <w:rPr>
          <w:u w:val="none"/>
        </w:rPr>
        <w:t>Dan</w:t>
      </w:r>
      <w:r>
        <w:rPr>
          <w:spacing w:val="-5"/>
          <w:u w:val="none"/>
        </w:rPr>
        <w:t> </w:t>
      </w:r>
      <w:r>
        <w:rPr>
          <w:u w:val="none"/>
        </w:rPr>
        <w:t>ifisser</w:t>
      </w:r>
      <w:r>
        <w:rPr>
          <w:spacing w:val="-5"/>
          <w:u w:val="none"/>
        </w:rPr>
        <w:t> </w:t>
      </w:r>
      <w:r>
        <w:rPr>
          <w:u w:val="none"/>
        </w:rPr>
        <w:t>li l‑użu</w:t>
      </w:r>
      <w:r>
        <w:rPr>
          <w:spacing w:val="-1"/>
          <w:u w:val="none"/>
        </w:rPr>
        <w:t> </w:t>
      </w:r>
      <w:r>
        <w:rPr>
          <w:u w:val="none"/>
        </w:rPr>
        <w:t>mill-ġdid</w:t>
      </w:r>
      <w:r>
        <w:rPr>
          <w:spacing w:val="-1"/>
          <w:u w:val="none"/>
        </w:rPr>
        <w:t> </w:t>
      </w:r>
      <w:r>
        <w:rPr>
          <w:u w:val="none"/>
        </w:rPr>
        <w:t>huwa</w:t>
      </w:r>
      <w:r>
        <w:rPr>
          <w:spacing w:val="-1"/>
          <w:u w:val="none"/>
        </w:rPr>
        <w:t> </w:t>
      </w:r>
      <w:r>
        <w:rPr>
          <w:u w:val="none"/>
        </w:rPr>
        <w:t>permess</w:t>
      </w:r>
      <w:r>
        <w:rPr>
          <w:spacing w:val="-1"/>
          <w:u w:val="none"/>
        </w:rPr>
        <w:t> </w:t>
      </w:r>
      <w:r>
        <w:rPr>
          <w:u w:val="none"/>
        </w:rPr>
        <w:t>kemm-il</w:t>
      </w:r>
      <w:r>
        <w:rPr>
          <w:spacing w:val="-1"/>
          <w:u w:val="none"/>
        </w:rPr>
        <w:t> </w:t>
      </w:r>
      <w:r>
        <w:rPr>
          <w:u w:val="none"/>
        </w:rPr>
        <w:t>darba</w:t>
      </w:r>
      <w:r>
        <w:rPr>
          <w:spacing w:val="-1"/>
          <w:u w:val="none"/>
        </w:rPr>
        <w:t> </w:t>
      </w:r>
      <w:r>
        <w:rPr>
          <w:u w:val="none"/>
        </w:rPr>
        <w:t>jingħata</w:t>
      </w:r>
      <w:r>
        <w:rPr>
          <w:spacing w:val="-1"/>
          <w:u w:val="none"/>
        </w:rPr>
        <w:t> </w:t>
      </w:r>
      <w:r>
        <w:rPr>
          <w:u w:val="none"/>
        </w:rPr>
        <w:t>kreditu</w:t>
      </w:r>
      <w:r>
        <w:rPr>
          <w:spacing w:val="-1"/>
          <w:u w:val="none"/>
        </w:rPr>
        <w:t> </w:t>
      </w:r>
      <w:r>
        <w:rPr>
          <w:u w:val="none"/>
        </w:rPr>
        <w:t>xieraq</w:t>
      </w:r>
      <w:r>
        <w:rPr>
          <w:spacing w:val="-1"/>
          <w:u w:val="none"/>
        </w:rPr>
        <w:t> </w:t>
      </w:r>
      <w:r>
        <w:rPr>
          <w:u w:val="none"/>
        </w:rPr>
        <w:t>u</w:t>
      </w:r>
      <w:r>
        <w:rPr>
          <w:spacing w:val="-1"/>
          <w:u w:val="none"/>
        </w:rPr>
        <w:t> </w:t>
      </w:r>
      <w:r>
        <w:rPr>
          <w:u w:val="none"/>
        </w:rPr>
        <w:t>jiġu</w:t>
      </w:r>
      <w:r>
        <w:rPr>
          <w:spacing w:val="-1"/>
          <w:u w:val="none"/>
        </w:rPr>
        <w:t> </w:t>
      </w:r>
      <w:r>
        <w:rPr>
          <w:u w:val="none"/>
        </w:rPr>
        <w:t>indikati</w:t>
      </w:r>
      <w:r>
        <w:rPr>
          <w:spacing w:val="-1"/>
          <w:u w:val="none"/>
        </w:rPr>
        <w:t> </w:t>
      </w:r>
      <w:r>
        <w:rPr>
          <w:u w:val="none"/>
        </w:rPr>
        <w:t>t‑tibdiliet</w:t>
      </w:r>
      <w:r>
        <w:rPr>
          <w:spacing w:val="-1"/>
          <w:u w:val="none"/>
        </w:rPr>
        <w:t> </w:t>
      </w:r>
      <w:r>
        <w:rPr>
          <w:u w:val="none"/>
        </w:rPr>
        <w:t>kollha.</w:t>
      </w:r>
    </w:p>
    <w:p>
      <w:pPr>
        <w:pStyle w:val="BodyText"/>
        <w:spacing w:before="92"/>
      </w:pPr>
    </w:p>
    <w:p>
      <w:pPr>
        <w:pStyle w:val="BodyText"/>
        <w:spacing w:before="1"/>
        <w:ind w:left="160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 w:right="53"/>
      </w:pPr>
      <w:r>
        <w:rPr/>
        <w:t>Għal kull użu jew riproduzzjoni ta’ elementi li mhumiex proprjetà tal‑Unjoni Ewropea, jista’ jkun hemm bżonn li jintalab</w:t>
      </w:r>
      <w:r>
        <w:rPr>
          <w:spacing w:val="-13"/>
        </w:rPr>
        <w:t> </w:t>
      </w:r>
      <w:r>
        <w:rPr/>
        <w:t>permess</w:t>
      </w:r>
      <w:r>
        <w:rPr>
          <w:spacing w:val="-13"/>
        </w:rPr>
        <w:t> </w:t>
      </w:r>
      <w:r>
        <w:rPr/>
        <w:t>direttament</w:t>
      </w:r>
      <w:r>
        <w:rPr>
          <w:spacing w:val="-13"/>
        </w:rPr>
        <w:t> </w:t>
      </w:r>
      <w:r>
        <w:rPr/>
        <w:t>mid-detenturi</w:t>
      </w:r>
      <w:r>
        <w:rPr>
          <w:spacing w:val="-13"/>
        </w:rPr>
        <w:t> </w:t>
      </w:r>
      <w:r>
        <w:rPr/>
        <w:t>tad-drittijiet</w:t>
      </w:r>
      <w:r>
        <w:rPr>
          <w:spacing w:val="-13"/>
        </w:rPr>
        <w:t> </w:t>
      </w:r>
      <w:r>
        <w:rPr/>
        <w:t>rispettivi.</w:t>
      </w:r>
      <w:r>
        <w:rPr>
          <w:spacing w:val="-10"/>
        </w:rPr>
        <w:t> </w:t>
      </w:r>
      <w:r>
        <w:rPr/>
        <w:t>L‑Unjoni</w:t>
      </w:r>
      <w:r>
        <w:rPr>
          <w:spacing w:val="-13"/>
        </w:rPr>
        <w:t> </w:t>
      </w:r>
      <w:r>
        <w:rPr/>
        <w:t>Ewropea</w:t>
      </w:r>
      <w:r>
        <w:rPr>
          <w:spacing w:val="-13"/>
        </w:rPr>
        <w:t> </w:t>
      </w:r>
      <w:r>
        <w:rPr/>
        <w:t>ma</w:t>
      </w:r>
      <w:r>
        <w:rPr>
          <w:spacing w:val="-13"/>
        </w:rPr>
        <w:t> </w:t>
      </w:r>
      <w:r>
        <w:rPr/>
        <w:t>għandhiex</w:t>
      </w:r>
      <w:r>
        <w:rPr>
          <w:spacing w:val="-13"/>
        </w:rPr>
        <w:t> </w:t>
      </w:r>
      <w:r>
        <w:rPr/>
        <w:t>id-drittijiet</w:t>
      </w:r>
      <w:r>
        <w:rPr>
          <w:spacing w:val="-13"/>
        </w:rPr>
        <w:t> </w:t>
      </w:r>
      <w:r>
        <w:rPr/>
        <w:t>tal- awtur f’rabta mal-elementi li ġejjin: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qoxra,</w:t>
      </w:r>
      <w:r>
        <w:rPr>
          <w:spacing w:val="-7"/>
          <w:sz w:val="20"/>
        </w:rPr>
        <w:t> </w:t>
      </w:r>
      <w:r>
        <w:rPr>
          <w:sz w:val="20"/>
        </w:rPr>
        <w:t>[element</w:t>
      </w:r>
      <w:r>
        <w:rPr>
          <w:spacing w:val="-7"/>
          <w:sz w:val="20"/>
        </w:rPr>
        <w:t> </w:t>
      </w:r>
      <w:r>
        <w:rPr>
          <w:sz w:val="20"/>
        </w:rPr>
        <w:t>ikkonċernat],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sors:</w:t>
      </w:r>
      <w:r>
        <w:rPr>
          <w:i/>
          <w:spacing w:val="-6"/>
          <w:sz w:val="20"/>
        </w:rPr>
        <w:t> </w:t>
      </w:r>
      <w:r>
        <w:rPr>
          <w:sz w:val="20"/>
        </w:rPr>
        <w:t>eż.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paġna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[element</w:t>
      </w:r>
      <w:r>
        <w:rPr>
          <w:spacing w:val="-7"/>
          <w:sz w:val="20"/>
        </w:rPr>
        <w:t> </w:t>
      </w:r>
      <w:r>
        <w:rPr>
          <w:sz w:val="20"/>
        </w:rPr>
        <w:t>ikkonċernat],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sors:</w:t>
      </w:r>
      <w:r>
        <w:rPr>
          <w:i/>
          <w:spacing w:val="-6"/>
          <w:sz w:val="20"/>
        </w:rPr>
        <w:t> </w:t>
      </w:r>
      <w:r>
        <w:rPr>
          <w:sz w:val="20"/>
        </w:rPr>
        <w:t>eż.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[awtur],</w:t>
      </w:r>
      <w:r>
        <w:rPr>
          <w:spacing w:val="-7"/>
          <w:sz w:val="20"/>
        </w:rPr>
        <w:t> </w:t>
      </w:r>
      <w:r>
        <w:rPr>
          <w:sz w:val="20"/>
        </w:rPr>
        <w:t>kull</w:t>
      </w:r>
      <w:r>
        <w:rPr>
          <w:spacing w:val="-6"/>
          <w:sz w:val="20"/>
        </w:rPr>
        <w:t> </w:t>
      </w:r>
      <w:r>
        <w:rPr>
          <w:sz w:val="20"/>
        </w:rPr>
        <w:t>dritt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miżmum;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191" w:hanging="380"/>
        <w:jc w:val="left"/>
        <w:rPr>
          <w:sz w:val="20"/>
        </w:rPr>
      </w:pPr>
      <w:r>
        <w:rPr>
          <w:sz w:val="20"/>
        </w:rPr>
        <w:t>paġna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[element</w:t>
      </w:r>
      <w:r>
        <w:rPr>
          <w:spacing w:val="-3"/>
          <w:sz w:val="20"/>
        </w:rPr>
        <w:t> </w:t>
      </w:r>
      <w:r>
        <w:rPr>
          <w:sz w:val="20"/>
        </w:rPr>
        <w:t>ikkonċernat],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sors:</w:t>
      </w:r>
      <w:r>
        <w:rPr>
          <w:i/>
          <w:spacing w:val="-2"/>
          <w:sz w:val="20"/>
        </w:rPr>
        <w:t> </w:t>
      </w:r>
      <w:r>
        <w:rPr>
          <w:sz w:val="20"/>
        </w:rPr>
        <w:t>eż.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[awtur],</w:t>
      </w:r>
      <w:r>
        <w:rPr>
          <w:spacing w:val="-3"/>
          <w:sz w:val="20"/>
        </w:rPr>
        <w:t> </w:t>
      </w:r>
      <w:r>
        <w:rPr>
          <w:sz w:val="20"/>
        </w:rPr>
        <w:t>liċenzjat</w:t>
      </w:r>
      <w:r>
        <w:rPr>
          <w:spacing w:val="-3"/>
          <w:sz w:val="20"/>
        </w:rPr>
        <w:t> </w:t>
      </w:r>
      <w:r>
        <w:rPr>
          <w:sz w:val="20"/>
        </w:rPr>
        <w:t>taħt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link</w:t>
      </w:r>
      <w:r>
        <w:rPr>
          <w:spacing w:val="-3"/>
          <w:sz w:val="20"/>
        </w:rPr>
        <w:t> </w:t>
      </w:r>
      <w:r>
        <w:rPr>
          <w:sz w:val="20"/>
        </w:rPr>
        <w:t>għal- </w:t>
      </w:r>
      <w:r>
        <w:rPr>
          <w:spacing w:val="-2"/>
          <w:sz w:val="20"/>
        </w:rPr>
        <w:t>liċenzja];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3" w:after="0"/>
        <w:ind w:left="880" w:right="0" w:hanging="380"/>
        <w:jc w:val="left"/>
        <w:rPr>
          <w:sz w:val="20"/>
        </w:rPr>
      </w:pPr>
      <w:r>
        <w:rPr>
          <w:sz w:val="20"/>
        </w:rPr>
        <w:t>[illustrazzjoni/ritratt/eċċ.],</w:t>
      </w:r>
      <w:r>
        <w:rPr>
          <w:spacing w:val="-13"/>
          <w:sz w:val="20"/>
        </w:rPr>
        <w:t> </w:t>
      </w:r>
      <w:r>
        <w:rPr>
          <w:sz w:val="20"/>
        </w:rPr>
        <w:t>p.</w:t>
      </w:r>
      <w:r>
        <w:rPr>
          <w:spacing w:val="-12"/>
          <w:sz w:val="20"/>
        </w:rPr>
        <w:t> </w:t>
      </w:r>
      <w:r>
        <w:rPr>
          <w:sz w:val="20"/>
        </w:rPr>
        <w:t>…,</w:t>
      </w:r>
      <w:r>
        <w:rPr>
          <w:spacing w:val="-13"/>
          <w:sz w:val="20"/>
        </w:rPr>
        <w:t> </w:t>
      </w:r>
      <w:r>
        <w:rPr>
          <w:sz w:val="20"/>
        </w:rPr>
        <w:t>©</w:t>
      </w:r>
      <w:r>
        <w:rPr>
          <w:spacing w:val="-12"/>
          <w:sz w:val="20"/>
        </w:rPr>
        <w:t> </w:t>
      </w:r>
      <w:r>
        <w:rPr>
          <w:sz w:val="20"/>
        </w:rPr>
        <w:t>[isem</w:t>
      </w:r>
      <w:r>
        <w:rPr>
          <w:spacing w:val="-13"/>
          <w:sz w:val="20"/>
        </w:rPr>
        <w:t> </w:t>
      </w:r>
      <w:r>
        <w:rPr>
          <w:sz w:val="20"/>
        </w:rPr>
        <w:t>l‑artist],</w:t>
      </w:r>
      <w:r>
        <w:rPr>
          <w:spacing w:val="-12"/>
          <w:sz w:val="20"/>
        </w:rPr>
        <w:t> </w:t>
      </w:r>
      <w:r>
        <w:rPr>
          <w:sz w:val="20"/>
        </w:rPr>
        <w:t>[is-sena],</w:t>
      </w:r>
      <w:r>
        <w:rPr>
          <w:spacing w:val="-13"/>
          <w:sz w:val="20"/>
        </w:rPr>
        <w:t> </w:t>
      </w:r>
      <w:r>
        <w:rPr>
          <w:sz w:val="20"/>
        </w:rPr>
        <w:t>kull</w:t>
      </w:r>
      <w:r>
        <w:rPr>
          <w:spacing w:val="-12"/>
          <w:sz w:val="20"/>
        </w:rPr>
        <w:t> </w:t>
      </w:r>
      <w:r>
        <w:rPr>
          <w:sz w:val="20"/>
        </w:rPr>
        <w:t>dritt</w:t>
      </w:r>
      <w:r>
        <w:rPr>
          <w:spacing w:val="-13"/>
          <w:sz w:val="20"/>
        </w:rPr>
        <w:t> </w:t>
      </w:r>
      <w:r>
        <w:rPr>
          <w:spacing w:val="-2"/>
          <w:sz w:val="20"/>
        </w:rPr>
        <w:t>miżmum.</w:t>
      </w:r>
    </w:p>
    <w:p>
      <w:pPr>
        <w:pStyle w:val="BodyText"/>
        <w:spacing w:before="98"/>
      </w:pPr>
    </w:p>
    <w:p>
      <w:pPr>
        <w:pStyle w:val="BodyText"/>
        <w:ind w:left="160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/>
      </w:pPr>
      <w:r>
        <w:rPr/>
        <w:t>Għal</w:t>
      </w:r>
      <w:r>
        <w:rPr>
          <w:spacing w:val="-9"/>
        </w:rPr>
        <w:t> </w:t>
      </w:r>
      <w:r>
        <w:rPr/>
        <w:t>kull</w:t>
      </w:r>
      <w:r>
        <w:rPr>
          <w:spacing w:val="-9"/>
        </w:rPr>
        <w:t> </w:t>
      </w:r>
      <w:r>
        <w:rPr/>
        <w:t>użu</w:t>
      </w:r>
      <w:r>
        <w:rPr>
          <w:spacing w:val="-9"/>
        </w:rPr>
        <w:t> </w:t>
      </w:r>
      <w:r>
        <w:rPr/>
        <w:t>jew</w:t>
      </w:r>
      <w:r>
        <w:rPr>
          <w:spacing w:val="-9"/>
        </w:rPr>
        <w:t> </w:t>
      </w:r>
      <w:r>
        <w:rPr/>
        <w:t>riproduzzjoni</w:t>
      </w:r>
      <w:r>
        <w:rPr>
          <w:spacing w:val="-9"/>
        </w:rPr>
        <w:t> </w:t>
      </w:r>
      <w:r>
        <w:rPr/>
        <w:t>ta’</w:t>
      </w:r>
      <w:r>
        <w:rPr>
          <w:spacing w:val="-9"/>
        </w:rPr>
        <w:t> </w:t>
      </w:r>
      <w:r>
        <w:rPr/>
        <w:t>elementi</w:t>
      </w:r>
      <w:r>
        <w:rPr>
          <w:spacing w:val="-9"/>
        </w:rPr>
        <w:t> </w:t>
      </w:r>
      <w:r>
        <w:rPr/>
        <w:t>li</w:t>
      </w:r>
      <w:r>
        <w:rPr>
          <w:spacing w:val="-9"/>
        </w:rPr>
        <w:t> </w:t>
      </w:r>
      <w:r>
        <w:rPr/>
        <w:t>mhumiex</w:t>
      </w:r>
      <w:r>
        <w:rPr>
          <w:spacing w:val="-9"/>
        </w:rPr>
        <w:t> </w:t>
      </w:r>
      <w:r>
        <w:rPr/>
        <w:t>proprjetà</w:t>
      </w:r>
      <w:r>
        <w:rPr>
          <w:spacing w:val="-9"/>
        </w:rPr>
        <w:t> </w:t>
      </w:r>
      <w:r>
        <w:rPr/>
        <w:t>tal‑Unjoni</w:t>
      </w:r>
      <w:r>
        <w:rPr>
          <w:spacing w:val="-9"/>
        </w:rPr>
        <w:t> </w:t>
      </w:r>
      <w:r>
        <w:rPr/>
        <w:t>Ewropea,</w:t>
      </w:r>
      <w:r>
        <w:rPr>
          <w:spacing w:val="-9"/>
        </w:rPr>
        <w:t> </w:t>
      </w:r>
      <w:r>
        <w:rPr/>
        <w:t>jista’</w:t>
      </w:r>
      <w:r>
        <w:rPr>
          <w:spacing w:val="-9"/>
        </w:rPr>
        <w:t> </w:t>
      </w:r>
      <w:r>
        <w:rPr/>
        <w:t>jkun</w:t>
      </w:r>
      <w:r>
        <w:rPr>
          <w:spacing w:val="-9"/>
        </w:rPr>
        <w:t> </w:t>
      </w:r>
      <w:r>
        <w:rPr/>
        <w:t>hemm</w:t>
      </w:r>
      <w:r>
        <w:rPr>
          <w:spacing w:val="-9"/>
        </w:rPr>
        <w:t> </w:t>
      </w:r>
      <w:r>
        <w:rPr/>
        <w:t>bżonn</w:t>
      </w:r>
      <w:r>
        <w:rPr>
          <w:spacing w:val="-9"/>
        </w:rPr>
        <w:t> </w:t>
      </w:r>
      <w:r>
        <w:rPr/>
        <w:t>li jintalab permess direttament mid-detenturi tad-drittijiet rispettivi.</w:t>
      </w:r>
    </w:p>
    <w:p>
      <w:pPr>
        <w:pStyle w:val="BodyText"/>
        <w:spacing w:before="127" w:after="1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186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647992</wp:posOffset>
                </wp:positionH>
                <wp:positionV relativeFrom="paragraph">
                  <wp:posOffset>279738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2.026674pt;width:131.970001pt;height:.31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131" w:after="0"/>
        <w:ind w:left="460" w:right="442" w:hanging="300"/>
        <w:jc w:val="left"/>
        <w:rPr>
          <w:rFonts w:ascii="Microsoft Sans Serif"/>
          <w:sz w:val="18"/>
        </w:rPr>
      </w:pPr>
      <w:bookmarkStart w:name="_bookmark2" w:id="4"/>
      <w:bookmarkEnd w:id="4"/>
      <w:r>
        <w:rPr/>
      </w:r>
      <w:r>
        <w:rPr>
          <w:rFonts w:ascii="Microsoft Sans Serif"/>
          <w:position w:val="1"/>
          <w:sz w:val="18"/>
        </w:rPr>
        <w:t>Disclaimer</w:t>
      </w:r>
      <w:r>
        <w:rPr>
          <w:rFonts w:ascii="Microsoft Sans Serif"/>
          <w:spacing w:val="-5"/>
          <w:position w:val="1"/>
          <w:sz w:val="18"/>
        </w:rPr>
        <w:t> </w:t>
      </w:r>
      <w:r>
        <w:rPr>
          <w:rFonts w:ascii="Microsoft Sans Serif"/>
          <w:position w:val="1"/>
          <w:sz w:val="18"/>
        </w:rPr>
        <w:t>to</w:t>
      </w:r>
      <w:r>
        <w:rPr>
          <w:rFonts w:ascii="Microsoft Sans Serif"/>
          <w:spacing w:val="-5"/>
          <w:position w:val="1"/>
          <w:sz w:val="18"/>
        </w:rPr>
        <w:t> </w:t>
      </w:r>
      <w:r>
        <w:rPr>
          <w:rFonts w:ascii="Microsoft Sans Serif"/>
          <w:position w:val="1"/>
          <w:sz w:val="18"/>
        </w:rPr>
        <w:t>be</w:t>
      </w:r>
      <w:r>
        <w:rPr>
          <w:rFonts w:ascii="Microsoft Sans Serif"/>
          <w:spacing w:val="-5"/>
          <w:position w:val="1"/>
          <w:sz w:val="18"/>
        </w:rPr>
        <w:t> </w:t>
      </w:r>
      <w:r>
        <w:rPr>
          <w:rFonts w:ascii="Microsoft Sans Serif"/>
          <w:position w:val="1"/>
          <w:sz w:val="18"/>
        </w:rPr>
        <w:t>used</w:t>
      </w:r>
      <w:r>
        <w:rPr>
          <w:rFonts w:ascii="Microsoft Sans Serif"/>
          <w:spacing w:val="-5"/>
          <w:position w:val="1"/>
          <w:sz w:val="18"/>
        </w:rPr>
        <w:t> </w:t>
      </w:r>
      <w:r>
        <w:rPr>
          <w:rFonts w:ascii="Microsoft Sans Serif"/>
          <w:position w:val="1"/>
          <w:sz w:val="18"/>
        </w:rPr>
        <w:t>if</w:t>
      </w:r>
      <w:r>
        <w:rPr>
          <w:rFonts w:ascii="Microsoft Sans Serif"/>
          <w:spacing w:val="-5"/>
          <w:position w:val="1"/>
          <w:sz w:val="18"/>
        </w:rPr>
        <w:t> </w:t>
      </w:r>
      <w:r>
        <w:rPr>
          <w:rFonts w:ascii="Microsoft Sans Serif"/>
          <w:position w:val="1"/>
          <w:sz w:val="18"/>
        </w:rPr>
        <w:t>necessary.</w:t>
      </w:r>
      <w:r>
        <w:rPr>
          <w:rFonts w:ascii="Microsoft Sans Serif"/>
          <w:spacing w:val="-5"/>
          <w:position w:val="1"/>
          <w:sz w:val="18"/>
        </w:rPr>
        <w:t> </w:t>
      </w:r>
      <w:r>
        <w:rPr>
          <w:rFonts w:ascii="Microsoft Sans Serif"/>
          <w:position w:val="1"/>
          <w:sz w:val="18"/>
        </w:rPr>
        <w:t>See</w:t>
      </w:r>
      <w:r>
        <w:rPr>
          <w:rFonts w:ascii="Microsoft Sans Serif"/>
          <w:spacing w:val="-5"/>
          <w:position w:val="1"/>
          <w:sz w:val="18"/>
        </w:rPr>
        <w:t> </w:t>
      </w:r>
      <w:r>
        <w:rPr>
          <w:rFonts w:ascii="Microsoft Sans Serif"/>
          <w:position w:val="1"/>
          <w:sz w:val="18"/>
        </w:rPr>
        <w:t>other</w:t>
      </w:r>
      <w:r>
        <w:rPr>
          <w:rFonts w:ascii="Microsoft Sans Serif"/>
          <w:spacing w:val="-5"/>
          <w:position w:val="1"/>
          <w:sz w:val="18"/>
        </w:rPr>
        <w:t> </w:t>
      </w:r>
      <w:r>
        <w:rPr>
          <w:rFonts w:ascii="Microsoft Sans Serif"/>
          <w:position w:val="1"/>
          <w:sz w:val="18"/>
        </w:rPr>
        <w:t>possible</w:t>
      </w:r>
      <w:r>
        <w:rPr>
          <w:rFonts w:ascii="Microsoft Sans Serif"/>
          <w:spacing w:val="-5"/>
          <w:position w:val="1"/>
          <w:sz w:val="18"/>
        </w:rPr>
        <w:t> </w:t>
      </w:r>
      <w:r>
        <w:rPr>
          <w:rFonts w:ascii="Microsoft Sans Serif"/>
          <w:position w:val="1"/>
          <w:sz w:val="18"/>
        </w:rPr>
        <w:t>disclaimers</w:t>
      </w:r>
      <w:r>
        <w:rPr>
          <w:rFonts w:ascii="Microsoft Sans Serif"/>
          <w:spacing w:val="-5"/>
          <w:position w:val="1"/>
          <w:sz w:val="18"/>
        </w:rPr>
        <w:t> </w:t>
      </w:r>
      <w:r>
        <w:rPr>
          <w:rFonts w:ascii="Microsoft Sans Serif"/>
          <w:position w:val="1"/>
          <w:sz w:val="18"/>
        </w:rPr>
        <w:t>in</w:t>
      </w:r>
      <w:r>
        <w:rPr>
          <w:rFonts w:ascii="Microsoft Sans Serif"/>
          <w:spacing w:val="-5"/>
          <w:position w:val="1"/>
          <w:sz w:val="18"/>
        </w:rPr>
        <w:t> </w:t>
      </w:r>
      <w:r>
        <w:rPr>
          <w:rFonts w:ascii="Microsoft Sans Serif"/>
          <w:position w:val="1"/>
          <w:sz w:val="18"/>
        </w:rPr>
        <w:t>the</w:t>
      </w:r>
      <w:r>
        <w:rPr>
          <w:rFonts w:ascii="Microsoft Sans Serif"/>
          <w:spacing w:val="-5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1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1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7"/>
          <w:position w:val="1"/>
          <w:sz w:val="18"/>
        </w:rPr>
        <w:t> </w:t>
      </w:r>
      <w:r>
        <w:rPr>
          <w:rFonts w:ascii="Microsoft Sans Serif"/>
          <w:position w:val="1"/>
          <w:sz w:val="18"/>
        </w:rPr>
        <w:t>(</w:t>
      </w:r>
      <w:hyperlink r:id="rId8">
        <w:r>
          <w:rPr>
            <w:rFonts w:ascii="Microsoft Sans Serif"/>
            <w:color w:val="337AB7"/>
            <w:position w:val="1"/>
            <w:sz w:val="18"/>
            <w:u w:val="single" w:color="337AB7"/>
          </w:rPr>
          <w:t>Section</w:t>
        </w:r>
        <w:r>
          <w:rPr>
            <w:rFonts w:ascii="Microsoft Sans Serif"/>
            <w:color w:val="337AB7"/>
            <w:spacing w:val="-5"/>
            <w:position w:val="1"/>
            <w:sz w:val="18"/>
            <w:u w:val="single" w:color="337AB7"/>
          </w:rPr>
          <w:t> </w:t>
        </w:r>
        <w:r>
          <w:rPr>
            <w:rFonts w:ascii="Microsoft Sans Serif"/>
            <w:color w:val="337AB7"/>
            <w:position w:val="1"/>
            <w:sz w:val="18"/>
            <w:u w:val="single" w:color="337AB7"/>
          </w:rPr>
          <w:t>5.4.4.</w:t>
        </w:r>
      </w:hyperlink>
      <w:r>
        <w:rPr>
          <w:rFonts w:ascii="Microsoft Sans Serif"/>
          <w:color w:val="337AB7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Microsoft Sans Serif"/>
          <w:color w:val="337AB7"/>
          <w:spacing w:val="-1"/>
          <w:w w:val="98"/>
          <w:position w:val="1"/>
          <w:sz w:val="18"/>
          <w:u w:val="none"/>
        </w:rPr>
      </w:r>
      <w:hyperlink r:id="rId8">
        <w:r>
          <w:rPr>
            <w:rFonts w:ascii="Microsoft Sans Serif"/>
            <w:color w:val="337AB7"/>
            <w:sz w:val="18"/>
            <w:u w:val="single" w:color="337AB7"/>
          </w:rPr>
          <w:t>Other diclaimers</w:t>
        </w:r>
      </w:hyperlink>
      <w:r>
        <w:rPr>
          <w:rFonts w:ascii="Microsoft Sans Serif"/>
          <w:sz w:val="18"/>
          <w:u w:val="none"/>
        </w:rPr>
        <w:t>) or in the </w:t>
      </w:r>
      <w:hyperlink r:id="rId9">
        <w:r>
          <w:rPr>
            <w:rFonts w:ascii="Microsoft Sans Serif"/>
            <w:color w:val="337AB7"/>
            <w:sz w:val="18"/>
            <w:u w:val="single" w:color="337AB7"/>
          </w:rPr>
          <w:t>Quick Reference Guide</w:t>
        </w:r>
      </w:hyperlink>
      <w:r>
        <w:rPr>
          <w:rFonts w:ascii="Microsoft Sans Serif"/>
          <w:color w:val="337AB7"/>
          <w:sz w:val="18"/>
          <w:u w:val="none"/>
        </w:rPr>
        <w:t> </w:t>
      </w:r>
      <w:r>
        <w:rPr>
          <w:rFonts w:ascii="Microsoft Sans Serif"/>
          <w:sz w:val="18"/>
          <w:u w:val="none"/>
        </w:rPr>
        <w:t>(in 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71" w:lineRule="auto" w:before="51" w:after="0"/>
        <w:ind w:left="460" w:right="465" w:hanging="300"/>
        <w:jc w:val="left"/>
        <w:rPr>
          <w:rFonts w:ascii="Microsoft Sans Serif"/>
          <w:sz w:val="18"/>
        </w:rPr>
      </w:pPr>
      <w:r>
        <w:rPr>
          <w:rFonts w:ascii="Microsoft Sans Serif"/>
          <w:position w:val="1"/>
          <w:sz w:val="18"/>
        </w:rPr>
        <w:t>Although this is not recommended, if there is a reason to make the publication available directly under the reuse </w:t>
      </w:r>
      <w:r>
        <w:rPr>
          <w:rFonts w:ascii="Microsoft Sans Serif"/>
          <w:sz w:val="18"/>
        </w:rPr>
        <w:t>Decision</w:t>
      </w:r>
      <w:r>
        <w:rPr>
          <w:rFonts w:ascii="Microsoft Sans Serif"/>
          <w:spacing w:val="-6"/>
          <w:sz w:val="18"/>
        </w:rPr>
        <w:t> </w:t>
      </w:r>
      <w:r>
        <w:rPr>
          <w:rFonts w:ascii="Microsoft Sans Serif"/>
          <w:sz w:val="18"/>
        </w:rPr>
        <w:t>and</w:t>
      </w:r>
      <w:r>
        <w:rPr>
          <w:rFonts w:ascii="Microsoft Sans Serif"/>
          <w:spacing w:val="-6"/>
          <w:sz w:val="18"/>
        </w:rPr>
        <w:t> </w:t>
      </w:r>
      <w:r>
        <w:rPr>
          <w:rFonts w:ascii="Microsoft Sans Serif"/>
          <w:sz w:val="18"/>
        </w:rPr>
        <w:t>not</w:t>
      </w:r>
      <w:r>
        <w:rPr>
          <w:rFonts w:ascii="Microsoft Sans Serif"/>
          <w:spacing w:val="-6"/>
          <w:sz w:val="18"/>
        </w:rPr>
        <w:t> </w:t>
      </w:r>
      <w:r>
        <w:rPr>
          <w:rFonts w:ascii="Microsoft Sans Serif"/>
          <w:sz w:val="18"/>
        </w:rPr>
        <w:t>to</w:t>
      </w:r>
      <w:r>
        <w:rPr>
          <w:rFonts w:ascii="Microsoft Sans Serif"/>
          <w:spacing w:val="-6"/>
          <w:sz w:val="18"/>
        </w:rPr>
        <w:t> </w:t>
      </w:r>
      <w:r>
        <w:rPr>
          <w:rFonts w:ascii="Microsoft Sans Serif"/>
          <w:sz w:val="18"/>
        </w:rPr>
        <w:t>use</w:t>
      </w:r>
      <w:r>
        <w:rPr>
          <w:rFonts w:ascii="Microsoft Sans Serif"/>
          <w:spacing w:val="-6"/>
          <w:sz w:val="18"/>
        </w:rPr>
        <w:t> </w:t>
      </w:r>
      <w:r>
        <w:rPr>
          <w:rFonts w:ascii="Microsoft Sans Serif"/>
          <w:sz w:val="18"/>
        </w:rPr>
        <w:t>Creative</w:t>
      </w:r>
      <w:r>
        <w:rPr>
          <w:rFonts w:ascii="Microsoft Sans Serif"/>
          <w:spacing w:val="-6"/>
          <w:sz w:val="18"/>
        </w:rPr>
        <w:t> </w:t>
      </w:r>
      <w:r>
        <w:rPr>
          <w:rFonts w:ascii="Microsoft Sans Serif"/>
          <w:sz w:val="18"/>
        </w:rPr>
        <w:t>Commons,</w:t>
      </w:r>
      <w:r>
        <w:rPr>
          <w:rFonts w:ascii="Microsoft Sans Serif"/>
          <w:spacing w:val="-6"/>
          <w:sz w:val="18"/>
        </w:rPr>
        <w:t> </w:t>
      </w:r>
      <w:r>
        <w:rPr>
          <w:rFonts w:ascii="Microsoft Sans Serif"/>
          <w:sz w:val="18"/>
        </w:rPr>
        <w:t>the</w:t>
      </w:r>
      <w:r>
        <w:rPr>
          <w:rFonts w:ascii="Microsoft Sans Serif"/>
          <w:spacing w:val="-6"/>
          <w:sz w:val="18"/>
        </w:rPr>
        <w:t> </w:t>
      </w:r>
      <w:r>
        <w:rPr>
          <w:rFonts w:ascii="Microsoft Sans Serif"/>
          <w:sz w:val="18"/>
        </w:rPr>
        <w:t>following</w:t>
      </w:r>
      <w:r>
        <w:rPr>
          <w:rFonts w:ascii="Microsoft Sans Serif"/>
          <w:spacing w:val="-6"/>
          <w:sz w:val="18"/>
        </w:rPr>
        <w:t> </w:t>
      </w:r>
      <w:r>
        <w:rPr>
          <w:rFonts w:ascii="Microsoft Sans Serif"/>
          <w:sz w:val="18"/>
        </w:rPr>
        <w:t>wording</w:t>
      </w:r>
      <w:r>
        <w:rPr>
          <w:rFonts w:ascii="Microsoft Sans Serif"/>
          <w:spacing w:val="-6"/>
          <w:sz w:val="18"/>
        </w:rPr>
        <w:t> </w:t>
      </w:r>
      <w:r>
        <w:rPr>
          <w:rFonts w:ascii="Microsoft Sans Serif"/>
          <w:sz w:val="18"/>
        </w:rPr>
        <w:t>may</w:t>
      </w:r>
      <w:r>
        <w:rPr>
          <w:rFonts w:ascii="Microsoft Sans Serif"/>
          <w:spacing w:val="-6"/>
          <w:sz w:val="18"/>
        </w:rPr>
        <w:t> </w:t>
      </w:r>
      <w:r>
        <w:rPr>
          <w:rFonts w:ascii="Microsoft Sans Serif"/>
          <w:sz w:val="18"/>
        </w:rPr>
        <w:t>be</w:t>
      </w:r>
      <w:r>
        <w:rPr>
          <w:rFonts w:ascii="Microsoft Sans Serif"/>
          <w:spacing w:val="-6"/>
          <w:sz w:val="18"/>
        </w:rPr>
        <w:t> </w:t>
      </w:r>
      <w:r>
        <w:rPr>
          <w:rFonts w:ascii="Microsoft Sans Serif"/>
          <w:sz w:val="18"/>
        </w:rPr>
        <w:t>used</w:t>
      </w:r>
      <w:r>
        <w:rPr>
          <w:rFonts w:ascii="Microsoft Sans Serif"/>
          <w:spacing w:val="-6"/>
          <w:sz w:val="18"/>
        </w:rPr>
        <w:t> </w:t>
      </w:r>
      <w:r>
        <w:rPr>
          <w:rFonts w:ascii="Microsoft Sans Serif"/>
          <w:sz w:val="18"/>
        </w:rPr>
        <w:t>(replace</w:t>
      </w:r>
      <w:r>
        <w:rPr>
          <w:rFonts w:ascii="Microsoft Sans Serif"/>
          <w:spacing w:val="-6"/>
          <w:sz w:val="18"/>
        </w:rPr>
        <w:t> </w:t>
      </w:r>
      <w:r>
        <w:rPr>
          <w:rFonts w:ascii="Microsoft Sans Serif"/>
          <w:sz w:val="18"/>
        </w:rPr>
        <w:t>the</w:t>
      </w:r>
      <w:r>
        <w:rPr>
          <w:rFonts w:ascii="Microsoft Sans Serif"/>
          <w:spacing w:val="-6"/>
          <w:sz w:val="18"/>
        </w:rPr>
        <w:t> </w:t>
      </w:r>
      <w:r>
        <w:rPr>
          <w:rFonts w:ascii="Microsoft Sans Serif"/>
          <w:sz w:val="18"/>
        </w:rPr>
        <w:t>CC</w:t>
      </w:r>
      <w:r>
        <w:rPr>
          <w:rFonts w:ascii="Microsoft Sans Serif"/>
          <w:spacing w:val="-6"/>
          <w:sz w:val="18"/>
        </w:rPr>
        <w:t> </w:t>
      </w:r>
      <w:r>
        <w:rPr>
          <w:rFonts w:ascii="Microsoft Sans Serif"/>
          <w:sz w:val="18"/>
        </w:rPr>
        <w:t>BY</w:t>
      </w:r>
      <w:r>
        <w:rPr>
          <w:rFonts w:ascii="Microsoft Sans Serif"/>
          <w:spacing w:val="-6"/>
          <w:sz w:val="18"/>
        </w:rPr>
        <w:t> </w:t>
      </w:r>
      <w:r>
        <w:rPr>
          <w:rFonts w:ascii="Microsoft Sans Serif"/>
          <w:sz w:val="18"/>
        </w:rPr>
        <w:t>logo</w:t>
      </w:r>
      <w:r>
        <w:rPr>
          <w:rFonts w:ascii="Microsoft Sans Serif"/>
          <w:spacing w:val="-6"/>
          <w:sz w:val="18"/>
        </w:rPr>
        <w:t> </w:t>
      </w:r>
      <w:r>
        <w:rPr>
          <w:rFonts w:ascii="Microsoft Sans Serif"/>
          <w:sz w:val="18"/>
        </w:rPr>
        <w:t>and</w:t>
      </w:r>
      <w:r>
        <w:rPr>
          <w:rFonts w:ascii="Microsoft Sans Serif"/>
          <w:spacing w:val="-6"/>
          <w:sz w:val="18"/>
        </w:rPr>
        <w:t> </w:t>
      </w:r>
      <w:r>
        <w:rPr>
          <w:rFonts w:ascii="Microsoft Sans Serif"/>
          <w:sz w:val="18"/>
        </w:rPr>
        <w:t>the</w:t>
      </w:r>
      <w:r>
        <w:rPr>
          <w:rFonts w:ascii="Microsoft Sans Serif"/>
          <w:spacing w:val="-6"/>
          <w:sz w:val="18"/>
        </w:rPr>
        <w:t> </w:t>
      </w:r>
      <w:r>
        <w:rPr>
          <w:rFonts w:ascii="Microsoft Sans Serif"/>
          <w:sz w:val="18"/>
        </w:rPr>
        <w:t>two paragraphs of the default notice):</w:t>
      </w:r>
    </w:p>
    <w:p>
      <w:pPr>
        <w:spacing w:before="3"/>
        <w:ind w:left="460" w:right="0" w:firstLine="0"/>
        <w:jc w:val="left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spacing w:val="-4"/>
          <w:sz w:val="18"/>
        </w:rPr>
        <w:t>©</w:t>
      </w:r>
      <w:r>
        <w:rPr>
          <w:rFonts w:ascii="Microsoft Sans Serif" w:hAnsi="Microsoft Sans Serif"/>
          <w:sz w:val="18"/>
        </w:rPr>
        <w:t> </w:t>
      </w:r>
      <w:r>
        <w:rPr>
          <w:rFonts w:ascii="Microsoft Sans Serif" w:hAnsi="Microsoft Sans Serif"/>
          <w:spacing w:val="-4"/>
          <w:sz w:val="18"/>
        </w:rPr>
        <w:t>l-Unjoni</w:t>
      </w:r>
      <w:r>
        <w:rPr>
          <w:rFonts w:ascii="Microsoft Sans Serif" w:hAnsi="Microsoft Sans Serif"/>
          <w:spacing w:val="1"/>
          <w:sz w:val="18"/>
        </w:rPr>
        <w:t> </w:t>
      </w:r>
      <w:r>
        <w:rPr>
          <w:rFonts w:ascii="Microsoft Sans Serif" w:hAnsi="Microsoft Sans Serif"/>
          <w:spacing w:val="-4"/>
          <w:sz w:val="18"/>
        </w:rPr>
        <w:t>Ewropea,</w:t>
      </w:r>
      <w:r>
        <w:rPr>
          <w:rFonts w:ascii="Microsoft Sans Serif" w:hAnsi="Microsoft Sans Serif"/>
          <w:sz w:val="18"/>
        </w:rPr>
        <w:t> </w:t>
      </w:r>
      <w:r>
        <w:rPr>
          <w:rFonts w:ascii="Microsoft Sans Serif" w:hAnsi="Microsoft Sans Serif"/>
          <w:spacing w:val="-4"/>
          <w:sz w:val="18"/>
        </w:rPr>
        <w:t>[is-sena]</w:t>
      </w:r>
    </w:p>
    <w:p>
      <w:pPr>
        <w:spacing w:line="276" w:lineRule="auto" w:before="30"/>
        <w:ind w:left="460" w:right="261" w:firstLine="0"/>
        <w:jc w:val="left"/>
        <w:rPr>
          <w:rFonts w:ascii="Microsoft Sans Serif" w:hAnsi="Microsoft Sans Serif"/>
          <w:sz w:val="18"/>
        </w:rPr>
      </w:pPr>
      <w:r>
        <w:rPr>
          <w:rFonts w:ascii="Microsoft Sans Serif" w:hAnsi="Microsoft Sans Serif"/>
          <w:sz w:val="18"/>
        </w:rPr>
        <w:t>L-użu mill-ġdid huwa awtorizzat kemm-il darba jissemma s-sors, u t-tifsira jew il-messaġġ oriġinali tad-dokument ma jinbidilx.</w:t>
      </w:r>
      <w:r>
        <w:rPr>
          <w:rFonts w:ascii="Microsoft Sans Serif" w:hAnsi="Microsoft Sans Serif"/>
          <w:spacing w:val="-3"/>
          <w:sz w:val="18"/>
        </w:rPr>
        <w:t> </w:t>
      </w:r>
      <w:r>
        <w:rPr>
          <w:rFonts w:ascii="Microsoft Sans Serif" w:hAnsi="Microsoft Sans Serif"/>
          <w:sz w:val="18"/>
        </w:rPr>
        <w:t>Il-Kummissjoni</w:t>
      </w:r>
      <w:r>
        <w:rPr>
          <w:rFonts w:ascii="Microsoft Sans Serif" w:hAnsi="Microsoft Sans Serif"/>
          <w:spacing w:val="-3"/>
          <w:sz w:val="18"/>
        </w:rPr>
        <w:t> </w:t>
      </w:r>
      <w:r>
        <w:rPr>
          <w:rFonts w:ascii="Microsoft Sans Serif" w:hAnsi="Microsoft Sans Serif"/>
          <w:sz w:val="18"/>
        </w:rPr>
        <w:t>Ewropea</w:t>
      </w:r>
      <w:r>
        <w:rPr>
          <w:rFonts w:ascii="Microsoft Sans Serif" w:hAnsi="Microsoft Sans Serif"/>
          <w:spacing w:val="-3"/>
          <w:sz w:val="18"/>
        </w:rPr>
        <w:t> </w:t>
      </w:r>
      <w:r>
        <w:rPr>
          <w:rFonts w:ascii="Microsoft Sans Serif" w:hAnsi="Microsoft Sans Serif"/>
          <w:sz w:val="18"/>
        </w:rPr>
        <w:t>mhijiex</w:t>
      </w:r>
      <w:r>
        <w:rPr>
          <w:rFonts w:ascii="Microsoft Sans Serif" w:hAnsi="Microsoft Sans Serif"/>
          <w:spacing w:val="-3"/>
          <w:sz w:val="18"/>
        </w:rPr>
        <w:t> </w:t>
      </w:r>
      <w:r>
        <w:rPr>
          <w:rFonts w:ascii="Microsoft Sans Serif" w:hAnsi="Microsoft Sans Serif"/>
          <w:sz w:val="18"/>
        </w:rPr>
        <w:t>responsabbli</w:t>
      </w:r>
      <w:r>
        <w:rPr>
          <w:rFonts w:ascii="Microsoft Sans Serif" w:hAnsi="Microsoft Sans Serif"/>
          <w:spacing w:val="-3"/>
          <w:sz w:val="18"/>
        </w:rPr>
        <w:t> </w:t>
      </w:r>
      <w:r>
        <w:rPr>
          <w:rFonts w:ascii="Microsoft Sans Serif" w:hAnsi="Microsoft Sans Serif"/>
          <w:sz w:val="18"/>
        </w:rPr>
        <w:t>għal</w:t>
      </w:r>
      <w:r>
        <w:rPr>
          <w:rFonts w:ascii="Microsoft Sans Serif" w:hAnsi="Microsoft Sans Serif"/>
          <w:spacing w:val="-3"/>
          <w:sz w:val="18"/>
        </w:rPr>
        <w:t> </w:t>
      </w:r>
      <w:r>
        <w:rPr>
          <w:rFonts w:ascii="Microsoft Sans Serif" w:hAnsi="Microsoft Sans Serif"/>
          <w:sz w:val="18"/>
        </w:rPr>
        <w:t>kwalunkwe</w:t>
      </w:r>
      <w:r>
        <w:rPr>
          <w:rFonts w:ascii="Microsoft Sans Serif" w:hAnsi="Microsoft Sans Serif"/>
          <w:spacing w:val="-3"/>
          <w:sz w:val="18"/>
        </w:rPr>
        <w:t> </w:t>
      </w:r>
      <w:r>
        <w:rPr>
          <w:rFonts w:ascii="Microsoft Sans Serif" w:hAnsi="Microsoft Sans Serif"/>
          <w:sz w:val="18"/>
        </w:rPr>
        <w:t>konsegwenza</w:t>
      </w:r>
      <w:r>
        <w:rPr>
          <w:rFonts w:ascii="Microsoft Sans Serif" w:hAnsi="Microsoft Sans Serif"/>
          <w:spacing w:val="-3"/>
          <w:sz w:val="18"/>
        </w:rPr>
        <w:t> </w:t>
      </w:r>
      <w:r>
        <w:rPr>
          <w:rFonts w:ascii="Microsoft Sans Serif" w:hAnsi="Microsoft Sans Serif"/>
          <w:sz w:val="18"/>
        </w:rPr>
        <w:t>li</w:t>
      </w:r>
      <w:r>
        <w:rPr>
          <w:rFonts w:ascii="Microsoft Sans Serif" w:hAnsi="Microsoft Sans Serif"/>
          <w:spacing w:val="-3"/>
          <w:sz w:val="18"/>
        </w:rPr>
        <w:t> </w:t>
      </w:r>
      <w:r>
        <w:rPr>
          <w:rFonts w:ascii="Microsoft Sans Serif" w:hAnsi="Microsoft Sans Serif"/>
          <w:sz w:val="18"/>
        </w:rPr>
        <w:t>tirriżulta</w:t>
      </w:r>
      <w:r>
        <w:rPr>
          <w:rFonts w:ascii="Microsoft Sans Serif" w:hAnsi="Microsoft Sans Serif"/>
          <w:spacing w:val="-3"/>
          <w:sz w:val="18"/>
        </w:rPr>
        <w:t> </w:t>
      </w:r>
      <w:r>
        <w:rPr>
          <w:rFonts w:ascii="Microsoft Sans Serif" w:hAnsi="Microsoft Sans Serif"/>
          <w:sz w:val="18"/>
        </w:rPr>
        <w:t>minħabba</w:t>
      </w:r>
      <w:r>
        <w:rPr>
          <w:rFonts w:ascii="Microsoft Sans Serif" w:hAnsi="Microsoft Sans Serif"/>
          <w:spacing w:val="-3"/>
          <w:sz w:val="18"/>
        </w:rPr>
        <w:t> </w:t>
      </w:r>
      <w:r>
        <w:rPr>
          <w:rFonts w:ascii="Microsoft Sans Serif" w:hAnsi="Microsoft Sans Serif"/>
          <w:sz w:val="18"/>
        </w:rPr>
        <w:t>l‑użu</w:t>
      </w:r>
      <w:r>
        <w:rPr>
          <w:rFonts w:ascii="Microsoft Sans Serif" w:hAnsi="Microsoft Sans Serif"/>
          <w:spacing w:val="-3"/>
          <w:sz w:val="18"/>
        </w:rPr>
        <w:t> </w:t>
      </w:r>
      <w:r>
        <w:rPr>
          <w:rFonts w:ascii="Microsoft Sans Serif" w:hAnsi="Microsoft Sans Serif"/>
          <w:sz w:val="18"/>
        </w:rPr>
        <w:t>mill- ġdid ta’ din il-pubblikazzjoni. Il‑politika tal-użu mill-ġdid tad-dokumenti tal-Kummissjoni Ewropea hija bbażata fuq id- Deċiżjoni tal-Kummissjoni 2011/833/UE tat-12 ta’ Diċembru 2011 dwar l‑użu mill-ġdid ta’ dokumenti tal-Kummissjoni </w:t>
      </w:r>
      <w:r>
        <w:rPr>
          <w:rFonts w:ascii="Microsoft Sans Serif" w:hAnsi="Microsoft Sans Serif"/>
          <w:spacing w:val="-2"/>
          <w:w w:val="105"/>
          <w:sz w:val="18"/>
        </w:rPr>
        <w:t>(ĠU</w:t>
      </w:r>
      <w:r>
        <w:rPr>
          <w:rFonts w:ascii="Microsoft Sans Serif" w:hAnsi="Microsoft Sans Serif"/>
          <w:spacing w:val="-5"/>
          <w:w w:val="105"/>
          <w:sz w:val="18"/>
        </w:rPr>
        <w:t> </w:t>
      </w:r>
      <w:r>
        <w:rPr>
          <w:rFonts w:ascii="Microsoft Sans Serif" w:hAnsi="Microsoft Sans Serif"/>
          <w:spacing w:val="-2"/>
          <w:w w:val="105"/>
          <w:sz w:val="18"/>
        </w:rPr>
        <w:t>L</w:t>
      </w:r>
      <w:r>
        <w:rPr>
          <w:rFonts w:ascii="Microsoft Sans Serif" w:hAnsi="Microsoft Sans Serif"/>
          <w:spacing w:val="-5"/>
          <w:w w:val="105"/>
          <w:sz w:val="18"/>
        </w:rPr>
        <w:t> </w:t>
      </w:r>
      <w:r>
        <w:rPr>
          <w:rFonts w:ascii="Microsoft Sans Serif" w:hAnsi="Microsoft Sans Serif"/>
          <w:spacing w:val="-2"/>
          <w:w w:val="105"/>
          <w:sz w:val="18"/>
        </w:rPr>
        <w:t>330,</w:t>
      </w:r>
      <w:r>
        <w:rPr>
          <w:rFonts w:ascii="Microsoft Sans Serif" w:hAnsi="Microsoft Sans Serif"/>
          <w:spacing w:val="-5"/>
          <w:w w:val="105"/>
          <w:sz w:val="18"/>
        </w:rPr>
        <w:t> </w:t>
      </w:r>
      <w:r>
        <w:rPr>
          <w:rFonts w:ascii="Microsoft Sans Serif" w:hAnsi="Microsoft Sans Serif"/>
          <w:spacing w:val="-2"/>
          <w:w w:val="105"/>
          <w:sz w:val="18"/>
        </w:rPr>
        <w:t>14.12.2011,</w:t>
      </w:r>
      <w:r>
        <w:rPr>
          <w:rFonts w:ascii="Microsoft Sans Serif" w:hAnsi="Microsoft Sans Serif"/>
          <w:spacing w:val="-5"/>
          <w:w w:val="105"/>
          <w:sz w:val="18"/>
        </w:rPr>
        <w:t> </w:t>
      </w:r>
      <w:r>
        <w:rPr>
          <w:rFonts w:ascii="Microsoft Sans Serif" w:hAnsi="Microsoft Sans Serif"/>
          <w:spacing w:val="-2"/>
          <w:w w:val="105"/>
          <w:sz w:val="18"/>
        </w:rPr>
        <w:t>p.</w:t>
      </w:r>
      <w:r>
        <w:rPr>
          <w:rFonts w:ascii="Microsoft Sans Serif" w:hAnsi="Microsoft Sans Serif"/>
          <w:spacing w:val="-5"/>
          <w:w w:val="105"/>
          <w:sz w:val="18"/>
        </w:rPr>
        <w:t> </w:t>
      </w:r>
      <w:r>
        <w:rPr>
          <w:rFonts w:ascii="Microsoft Sans Serif" w:hAnsi="Microsoft Sans Serif"/>
          <w:spacing w:val="-2"/>
          <w:w w:val="105"/>
          <w:sz w:val="18"/>
        </w:rPr>
        <w:t>39,</w:t>
      </w:r>
      <w:r>
        <w:rPr>
          <w:rFonts w:ascii="Microsoft Sans Serif" w:hAnsi="Microsoft Sans Serif"/>
          <w:spacing w:val="-5"/>
          <w:w w:val="105"/>
          <w:sz w:val="18"/>
        </w:rPr>
        <w:t> </w:t>
      </w:r>
      <w:r>
        <w:rPr>
          <w:rFonts w:ascii="Microsoft Sans Serif" w:hAnsi="Microsoft Sans Serif"/>
          <w:spacing w:val="-2"/>
          <w:w w:val="105"/>
          <w:sz w:val="18"/>
        </w:rPr>
        <w:t>ELI:</w:t>
      </w:r>
      <w:r>
        <w:rPr>
          <w:rFonts w:ascii="Microsoft Sans Serif" w:hAnsi="Microsoft Sans Serif"/>
          <w:spacing w:val="-6"/>
          <w:w w:val="105"/>
          <w:sz w:val="18"/>
        </w:rPr>
        <w:t> </w:t>
      </w:r>
      <w:hyperlink r:id="rId6">
        <w:r>
          <w:rPr>
            <w:rFonts w:ascii="Microsoft Sans Serif" w:hAnsi="Microsoft Sans Serif"/>
            <w:color w:val="337AB7"/>
            <w:spacing w:val="-2"/>
            <w:w w:val="105"/>
            <w:sz w:val="18"/>
            <w:u w:val="single" w:color="337AB7"/>
          </w:rPr>
          <w:t>http://data.europa.eu/eli/dec/2011/833/oj</w:t>
        </w:r>
      </w:hyperlink>
      <w:r>
        <w:rPr>
          <w:rFonts w:ascii="Microsoft Sans Serif" w:hAnsi="Microsoft Sans Serif"/>
          <w:spacing w:val="-2"/>
          <w:w w:val="105"/>
          <w:sz w:val="18"/>
          <w:u w:val="none"/>
        </w:rPr>
        <w:t>).</w:t>
      </w:r>
    </w:p>
    <w:p>
      <w:pPr>
        <w:spacing w:after="0" w:line="276" w:lineRule="auto"/>
        <w:jc w:val="left"/>
        <w:rPr>
          <w:rFonts w:ascii="Microsoft Sans Serif" w:hAnsi="Microsoft Sans Serif"/>
          <w:sz w:val="18"/>
        </w:rPr>
        <w:sectPr>
          <w:type w:val="continuous"/>
          <w:pgSz w:w="11910" w:h="16840"/>
          <w:pgMar w:top="640" w:bottom="280" w:left="860" w:right="920"/>
        </w:sectPr>
      </w:pPr>
    </w:p>
    <w:p>
      <w:pPr>
        <w:pStyle w:val="Heading1"/>
        <w:spacing w:before="76"/>
      </w:pPr>
      <w:r>
        <w:rPr/>
        <w:t>Kif</w:t>
      </w:r>
      <w:r>
        <w:rPr>
          <w:spacing w:val="-9"/>
        </w:rPr>
        <w:t> </w:t>
      </w:r>
      <w:r>
        <w:rPr/>
        <w:t>tikkuntattja</w:t>
      </w:r>
      <w:r>
        <w:rPr>
          <w:spacing w:val="-9"/>
        </w:rPr>
        <w:t> </w:t>
      </w:r>
      <w:r>
        <w:rPr/>
        <w:t>lill-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>
          <w:spacing w:val="-2"/>
        </w:rPr>
        <w:t>Personalment</w:t>
      </w:r>
    </w:p>
    <w:p>
      <w:pPr>
        <w:spacing w:line="290" w:lineRule="auto" w:before="167"/>
        <w:ind w:left="443" w:right="722" w:firstLine="0"/>
        <w:jc w:val="left"/>
        <w:rPr>
          <w:sz w:val="22"/>
        </w:rPr>
      </w:pPr>
      <w:r>
        <w:rPr>
          <w:sz w:val="22"/>
        </w:rPr>
        <w:t>Madwar</w:t>
      </w:r>
      <w:r>
        <w:rPr>
          <w:spacing w:val="-5"/>
          <w:sz w:val="22"/>
        </w:rPr>
        <w:t> </w:t>
      </w:r>
      <w:r>
        <w:rPr>
          <w:sz w:val="22"/>
        </w:rPr>
        <w:t>l-Unjoni</w:t>
      </w:r>
      <w:r>
        <w:rPr>
          <w:spacing w:val="-5"/>
          <w:sz w:val="22"/>
        </w:rPr>
        <w:t> </w:t>
      </w:r>
      <w:r>
        <w:rPr>
          <w:sz w:val="22"/>
        </w:rPr>
        <w:t>Ewropea</w:t>
      </w:r>
      <w:r>
        <w:rPr>
          <w:spacing w:val="-5"/>
          <w:sz w:val="22"/>
        </w:rPr>
        <w:t> </w:t>
      </w:r>
      <w:r>
        <w:rPr>
          <w:sz w:val="22"/>
        </w:rPr>
        <w:t>kollha</w:t>
      </w:r>
      <w:r>
        <w:rPr>
          <w:spacing w:val="-5"/>
          <w:sz w:val="22"/>
        </w:rPr>
        <w:t> </w:t>
      </w:r>
      <w:r>
        <w:rPr>
          <w:sz w:val="22"/>
        </w:rPr>
        <w:t>hemm</w:t>
      </w:r>
      <w:r>
        <w:rPr>
          <w:spacing w:val="-5"/>
          <w:sz w:val="22"/>
        </w:rPr>
        <w:t> </w:t>
      </w:r>
      <w:r>
        <w:rPr>
          <w:sz w:val="22"/>
        </w:rPr>
        <w:t>mijiet</w:t>
      </w:r>
      <w:r>
        <w:rPr>
          <w:spacing w:val="-5"/>
          <w:sz w:val="22"/>
        </w:rPr>
        <w:t> </w:t>
      </w:r>
      <w:r>
        <w:rPr>
          <w:sz w:val="22"/>
        </w:rPr>
        <w:t>ta’</w:t>
      </w:r>
      <w:r>
        <w:rPr>
          <w:spacing w:val="-5"/>
          <w:sz w:val="22"/>
        </w:rPr>
        <w:t> </w:t>
      </w:r>
      <w:r>
        <w:rPr>
          <w:sz w:val="22"/>
        </w:rPr>
        <w:t>ċentri</w:t>
      </w:r>
      <w:r>
        <w:rPr>
          <w:spacing w:val="-5"/>
          <w:sz w:val="22"/>
        </w:rPr>
        <w:t> </w:t>
      </w:r>
      <w:r>
        <w:rPr>
          <w:sz w:val="22"/>
        </w:rPr>
        <w:t>tal-Europe</w:t>
      </w:r>
      <w:r>
        <w:rPr>
          <w:spacing w:val="-5"/>
          <w:sz w:val="22"/>
        </w:rPr>
        <w:t> </w:t>
      </w:r>
      <w:r>
        <w:rPr>
          <w:sz w:val="22"/>
        </w:rPr>
        <w:t>Direct.</w:t>
      </w:r>
      <w:r>
        <w:rPr>
          <w:spacing w:val="-5"/>
          <w:sz w:val="22"/>
        </w:rPr>
        <w:t> </w:t>
      </w:r>
      <w:r>
        <w:rPr>
          <w:sz w:val="22"/>
        </w:rPr>
        <w:t>Tista’</w:t>
      </w:r>
      <w:r>
        <w:rPr>
          <w:spacing w:val="-5"/>
          <w:sz w:val="22"/>
        </w:rPr>
        <w:t> </w:t>
      </w:r>
      <w:r>
        <w:rPr>
          <w:sz w:val="22"/>
        </w:rPr>
        <w:t>ssib</w:t>
      </w:r>
      <w:r>
        <w:rPr>
          <w:spacing w:val="-5"/>
          <w:sz w:val="22"/>
        </w:rPr>
        <w:t> </w:t>
      </w:r>
      <w:r>
        <w:rPr>
          <w:sz w:val="22"/>
        </w:rPr>
        <w:t>l-indirizz tal-eqreb ċentru għalik online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european-union.europa.eu/contact-eu/meet-us_mt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Bit-telefown</w:t>
      </w:r>
      <w:r>
        <w:rPr>
          <w:spacing w:val="-10"/>
        </w:rPr>
        <w:t> </w:t>
      </w:r>
      <w:r>
        <w:rPr/>
        <w:t>jew</w:t>
      </w:r>
      <w:r>
        <w:rPr>
          <w:spacing w:val="-9"/>
        </w:rPr>
        <w:t> </w:t>
      </w:r>
      <w:r>
        <w:rPr/>
        <w:t>bil-</w:t>
      </w:r>
      <w:r>
        <w:rPr>
          <w:spacing w:val="-2"/>
        </w:rPr>
        <w:t>miktub</w:t>
      </w:r>
    </w:p>
    <w:p>
      <w:pPr>
        <w:spacing w:line="290" w:lineRule="auto" w:before="166"/>
        <w:ind w:left="443" w:right="53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huwa</w:t>
      </w:r>
      <w:r>
        <w:rPr>
          <w:spacing w:val="-5"/>
          <w:sz w:val="22"/>
        </w:rPr>
        <w:t> </w:t>
      </w:r>
      <w:r>
        <w:rPr>
          <w:sz w:val="22"/>
        </w:rPr>
        <w:t>servizz</w:t>
      </w:r>
      <w:r>
        <w:rPr>
          <w:spacing w:val="-5"/>
          <w:sz w:val="22"/>
        </w:rPr>
        <w:t> </w:t>
      </w:r>
      <w:r>
        <w:rPr>
          <w:sz w:val="22"/>
        </w:rPr>
        <w:t>li</w:t>
      </w:r>
      <w:r>
        <w:rPr>
          <w:spacing w:val="-5"/>
          <w:sz w:val="22"/>
        </w:rPr>
        <w:t> </w:t>
      </w:r>
      <w:r>
        <w:rPr>
          <w:sz w:val="22"/>
        </w:rPr>
        <w:t>jwieġeb</w:t>
      </w:r>
      <w:r>
        <w:rPr>
          <w:spacing w:val="-5"/>
          <w:sz w:val="22"/>
        </w:rPr>
        <w:t> </w:t>
      </w:r>
      <w:r>
        <w:rPr>
          <w:sz w:val="22"/>
        </w:rPr>
        <w:t>il-mistoqsijiet</w:t>
      </w:r>
      <w:r>
        <w:rPr>
          <w:spacing w:val="-5"/>
          <w:sz w:val="22"/>
        </w:rPr>
        <w:t> </w:t>
      </w:r>
      <w:r>
        <w:rPr>
          <w:sz w:val="22"/>
        </w:rPr>
        <w:t>tiegħek</w:t>
      </w:r>
      <w:r>
        <w:rPr>
          <w:spacing w:val="-5"/>
          <w:sz w:val="22"/>
        </w:rPr>
        <w:t> </w:t>
      </w:r>
      <w:r>
        <w:rPr>
          <w:sz w:val="22"/>
        </w:rPr>
        <w:t>dwar</w:t>
      </w:r>
      <w:r>
        <w:rPr>
          <w:spacing w:val="-5"/>
          <w:sz w:val="22"/>
        </w:rPr>
        <w:t> </w:t>
      </w:r>
      <w:r>
        <w:rPr>
          <w:sz w:val="22"/>
        </w:rPr>
        <w:t>l-Unjoni</w:t>
      </w:r>
      <w:r>
        <w:rPr>
          <w:spacing w:val="-5"/>
          <w:sz w:val="22"/>
        </w:rPr>
        <w:t> </w:t>
      </w:r>
      <w:r>
        <w:rPr>
          <w:sz w:val="22"/>
        </w:rPr>
        <w:t>Ewropea.</w:t>
      </w:r>
      <w:r>
        <w:rPr>
          <w:spacing w:val="-5"/>
          <w:sz w:val="22"/>
        </w:rPr>
        <w:t> </w:t>
      </w:r>
      <w:r>
        <w:rPr>
          <w:sz w:val="22"/>
        </w:rPr>
        <w:t>Tista’ tikkuntattja lil dan is-servizz: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13" w:after="0"/>
        <w:ind w:left="1163" w:right="400" w:hanging="400"/>
        <w:jc w:val="left"/>
        <w:rPr>
          <w:sz w:val="22"/>
        </w:rPr>
      </w:pPr>
      <w:r>
        <w:rPr>
          <w:sz w:val="22"/>
        </w:rPr>
        <w:t>bit-telefown</w:t>
      </w:r>
      <w:r>
        <w:rPr>
          <w:spacing w:val="-4"/>
          <w:sz w:val="22"/>
        </w:rPr>
        <w:t> </w:t>
      </w:r>
      <w:r>
        <w:rPr>
          <w:sz w:val="22"/>
        </w:rPr>
        <w:t>bla</w:t>
      </w:r>
      <w:r>
        <w:rPr>
          <w:spacing w:val="-4"/>
          <w:sz w:val="22"/>
        </w:rPr>
        <w:t> </w:t>
      </w:r>
      <w:r>
        <w:rPr>
          <w:sz w:val="22"/>
        </w:rPr>
        <w:t>ħlas: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(ċerti</w:t>
      </w:r>
      <w:r>
        <w:rPr>
          <w:spacing w:val="-4"/>
          <w:sz w:val="22"/>
        </w:rPr>
        <w:t> </w:t>
      </w:r>
      <w:r>
        <w:rPr>
          <w:sz w:val="22"/>
        </w:rPr>
        <w:t>operaturi</w:t>
      </w:r>
      <w:r>
        <w:rPr>
          <w:spacing w:val="-4"/>
          <w:sz w:val="22"/>
        </w:rPr>
        <w:t> </w:t>
      </w:r>
      <w:r>
        <w:rPr>
          <w:sz w:val="22"/>
        </w:rPr>
        <w:t>jafu</w:t>
      </w:r>
      <w:r>
        <w:rPr>
          <w:spacing w:val="-4"/>
          <w:sz w:val="22"/>
        </w:rPr>
        <w:t> </w:t>
      </w:r>
      <w:r>
        <w:rPr>
          <w:sz w:val="22"/>
        </w:rPr>
        <w:t>jimponu</w:t>
      </w:r>
      <w:r>
        <w:rPr>
          <w:spacing w:val="-4"/>
          <w:sz w:val="22"/>
        </w:rPr>
        <w:t> </w:t>
      </w:r>
      <w:r>
        <w:rPr>
          <w:sz w:val="22"/>
        </w:rPr>
        <w:t>ħlas</w:t>
      </w:r>
      <w:r>
        <w:rPr>
          <w:spacing w:val="-4"/>
          <w:sz w:val="22"/>
        </w:rPr>
        <w:t> </w:t>
      </w:r>
      <w:r>
        <w:rPr>
          <w:sz w:val="22"/>
        </w:rPr>
        <w:t>għal</w:t>
      </w:r>
      <w:r>
        <w:rPr>
          <w:spacing w:val="-4"/>
          <w:sz w:val="22"/>
        </w:rPr>
        <w:t> </w:t>
      </w:r>
      <w:r>
        <w:rPr>
          <w:sz w:val="22"/>
        </w:rPr>
        <w:t>dawn</w:t>
      </w:r>
      <w:r>
        <w:rPr>
          <w:spacing w:val="-4"/>
          <w:sz w:val="22"/>
        </w:rPr>
        <w:t> </w:t>
      </w:r>
      <w:r>
        <w:rPr>
          <w:sz w:val="22"/>
        </w:rPr>
        <w:t>it- </w:t>
      </w:r>
      <w:r>
        <w:rPr>
          <w:spacing w:val="-2"/>
          <w:sz w:val="22"/>
        </w:rPr>
        <w:t>telefonati),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fuq</w:t>
      </w:r>
      <w:r>
        <w:rPr>
          <w:spacing w:val="-6"/>
          <w:sz w:val="22"/>
        </w:rPr>
        <w:t> </w:t>
      </w:r>
      <w:r>
        <w:rPr>
          <w:sz w:val="22"/>
        </w:rPr>
        <w:t>dan</w:t>
      </w:r>
      <w:r>
        <w:rPr>
          <w:spacing w:val="-5"/>
          <w:sz w:val="22"/>
        </w:rPr>
        <w:t> </w:t>
      </w:r>
      <w:r>
        <w:rPr>
          <w:sz w:val="22"/>
        </w:rPr>
        <w:t>in-numru</w:t>
      </w:r>
      <w:r>
        <w:rPr>
          <w:spacing w:val="-5"/>
          <w:sz w:val="22"/>
        </w:rPr>
        <w:t> </w:t>
      </w:r>
      <w:r>
        <w:rPr>
          <w:sz w:val="22"/>
        </w:rPr>
        <w:t>standard: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z w:val="22"/>
        </w:rPr>
        <w:t>permezz</w:t>
      </w:r>
      <w:r>
        <w:rPr>
          <w:spacing w:val="-15"/>
          <w:sz w:val="22"/>
        </w:rPr>
        <w:t> </w:t>
      </w:r>
      <w:r>
        <w:rPr>
          <w:sz w:val="22"/>
        </w:rPr>
        <w:t>ta’</w:t>
      </w:r>
      <w:r>
        <w:rPr>
          <w:spacing w:val="-15"/>
          <w:sz w:val="22"/>
        </w:rPr>
        <w:t> </w:t>
      </w:r>
      <w:r>
        <w:rPr>
          <w:sz w:val="22"/>
        </w:rPr>
        <w:t>din</w:t>
      </w:r>
      <w:r>
        <w:rPr>
          <w:spacing w:val="-15"/>
          <w:sz w:val="22"/>
        </w:rPr>
        <w:t> </w:t>
      </w:r>
      <w:r>
        <w:rPr>
          <w:sz w:val="22"/>
        </w:rPr>
        <w:t>il-formola:</w:t>
      </w:r>
      <w:r>
        <w:rPr>
          <w:spacing w:val="-14"/>
          <w:sz w:val="22"/>
        </w:rPr>
        <w:t> </w:t>
      </w:r>
      <w:hyperlink r:id="rId11">
        <w:r>
          <w:rPr>
            <w:color w:val="337AB7"/>
            <w:sz w:val="22"/>
            <w:u w:val="single" w:color="337AB7"/>
          </w:rPr>
          <w:t>european-union.europa.eu/contact-eu/write-</w:t>
        </w:r>
        <w:r>
          <w:rPr>
            <w:color w:val="337AB7"/>
            <w:spacing w:val="-2"/>
            <w:sz w:val="22"/>
            <w:u w:val="single" w:color="337AB7"/>
          </w:rPr>
          <w:t>us_mt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Kif</w:t>
      </w:r>
      <w:r>
        <w:rPr>
          <w:spacing w:val="-4"/>
        </w:rPr>
        <w:t> </w:t>
      </w:r>
      <w:r>
        <w:rPr/>
        <w:t>issib</w:t>
      </w:r>
      <w:r>
        <w:rPr>
          <w:spacing w:val="-3"/>
        </w:rPr>
        <w:t> </w:t>
      </w:r>
      <w:r>
        <w:rPr/>
        <w:t>tagħrif</w:t>
      </w:r>
      <w:r>
        <w:rPr>
          <w:spacing w:val="-3"/>
        </w:rPr>
        <w:t> </w:t>
      </w:r>
      <w:r>
        <w:rPr/>
        <w:t>dwar</w:t>
      </w:r>
      <w:r>
        <w:rPr>
          <w:spacing w:val="-3"/>
        </w:rPr>
        <w:t> </w:t>
      </w:r>
      <w:r>
        <w:rPr/>
        <w:t>l-</w:t>
      </w:r>
      <w:r>
        <w:rPr>
          <w:spacing w:val="-5"/>
        </w:rPr>
        <w:t>UE</w:t>
      </w:r>
    </w:p>
    <w:p>
      <w:pPr>
        <w:pStyle w:val="Heading2"/>
        <w:spacing w:before="154"/>
      </w:pPr>
      <w:r>
        <w:rPr>
          <w:spacing w:val="-2"/>
        </w:rPr>
        <w:t>Online</w:t>
      </w:r>
    </w:p>
    <w:p>
      <w:pPr>
        <w:spacing w:line="290" w:lineRule="auto" w:before="167"/>
        <w:ind w:left="443" w:right="261" w:firstLine="0"/>
        <w:jc w:val="left"/>
        <w:rPr>
          <w:sz w:val="22"/>
        </w:rPr>
      </w:pPr>
      <w:r>
        <w:rPr>
          <w:sz w:val="22"/>
        </w:rPr>
        <w:t>L-informazzjoni</w:t>
      </w:r>
      <w:r>
        <w:rPr>
          <w:spacing w:val="-5"/>
          <w:sz w:val="22"/>
        </w:rPr>
        <w:t> </w:t>
      </w:r>
      <w:r>
        <w:rPr>
          <w:sz w:val="22"/>
        </w:rPr>
        <w:t>dwar</w:t>
      </w:r>
      <w:r>
        <w:rPr>
          <w:spacing w:val="-5"/>
          <w:sz w:val="22"/>
        </w:rPr>
        <w:t> </w:t>
      </w:r>
      <w:r>
        <w:rPr>
          <w:sz w:val="22"/>
        </w:rPr>
        <w:t>l-Unjoni</w:t>
      </w:r>
      <w:r>
        <w:rPr>
          <w:spacing w:val="-5"/>
          <w:sz w:val="22"/>
        </w:rPr>
        <w:t> </w:t>
      </w:r>
      <w:r>
        <w:rPr>
          <w:sz w:val="22"/>
        </w:rPr>
        <w:t>Ewropea</w:t>
      </w:r>
      <w:r>
        <w:rPr>
          <w:spacing w:val="-5"/>
          <w:sz w:val="22"/>
        </w:rPr>
        <w:t> </w:t>
      </w:r>
      <w:r>
        <w:rPr>
          <w:sz w:val="22"/>
        </w:rPr>
        <w:t>bil-lingwi</w:t>
      </w:r>
      <w:r>
        <w:rPr>
          <w:spacing w:val="-5"/>
          <w:sz w:val="22"/>
        </w:rPr>
        <w:t> </w:t>
      </w:r>
      <w:r>
        <w:rPr>
          <w:sz w:val="22"/>
        </w:rPr>
        <w:t>uffiċjali</w:t>
      </w:r>
      <w:r>
        <w:rPr>
          <w:spacing w:val="-5"/>
          <w:sz w:val="22"/>
        </w:rPr>
        <w:t> </w:t>
      </w:r>
      <w:r>
        <w:rPr>
          <w:sz w:val="22"/>
        </w:rPr>
        <w:t>kollha</w:t>
      </w:r>
      <w:r>
        <w:rPr>
          <w:spacing w:val="-5"/>
          <w:sz w:val="22"/>
        </w:rPr>
        <w:t> </w:t>
      </w:r>
      <w:r>
        <w:rPr>
          <w:sz w:val="22"/>
        </w:rPr>
        <w:t>tal-UE</w:t>
      </w:r>
      <w:r>
        <w:rPr>
          <w:spacing w:val="-5"/>
          <w:sz w:val="22"/>
        </w:rPr>
        <w:t> </w:t>
      </w:r>
      <w:r>
        <w:rPr>
          <w:sz w:val="22"/>
        </w:rPr>
        <w:t>hija</w:t>
      </w:r>
      <w:r>
        <w:rPr>
          <w:spacing w:val="-5"/>
          <w:sz w:val="22"/>
        </w:rPr>
        <w:t> </w:t>
      </w:r>
      <w:r>
        <w:rPr>
          <w:sz w:val="22"/>
        </w:rPr>
        <w:t>disponibbli</w:t>
      </w:r>
      <w:r>
        <w:rPr>
          <w:spacing w:val="-5"/>
          <w:sz w:val="22"/>
        </w:rPr>
        <w:t> </w:t>
      </w:r>
      <w:r>
        <w:rPr>
          <w:sz w:val="22"/>
        </w:rPr>
        <w:t>fuq</w:t>
      </w:r>
      <w:r>
        <w:rPr>
          <w:spacing w:val="-5"/>
          <w:sz w:val="22"/>
        </w:rPr>
        <w:t> </w:t>
      </w:r>
      <w:r>
        <w:rPr>
          <w:sz w:val="22"/>
        </w:rPr>
        <w:t>is-sit web Europa (</w:t>
      </w:r>
      <w:hyperlink r:id="rId12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Pubblikazzjonijiet</w:t>
      </w:r>
      <w:r>
        <w:rPr>
          <w:spacing w:val="-5"/>
        </w:rPr>
        <w:t> </w:t>
      </w:r>
      <w:r>
        <w:rPr/>
        <w:t>tal-</w:t>
      </w:r>
      <w:r>
        <w:rPr>
          <w:spacing w:val="-5"/>
        </w:rPr>
        <w:t>UE</w:t>
      </w:r>
    </w:p>
    <w:p>
      <w:pPr>
        <w:spacing w:before="166"/>
        <w:ind w:left="443" w:right="0" w:firstLine="0"/>
        <w:jc w:val="left"/>
        <w:rPr>
          <w:sz w:val="22"/>
        </w:rPr>
      </w:pPr>
      <w:r>
        <w:rPr>
          <w:sz w:val="22"/>
        </w:rPr>
        <w:t>Tista’</w:t>
      </w:r>
      <w:r>
        <w:rPr>
          <w:spacing w:val="-9"/>
          <w:sz w:val="22"/>
        </w:rPr>
        <w:t> </w:t>
      </w:r>
      <w:r>
        <w:rPr>
          <w:sz w:val="22"/>
        </w:rPr>
        <w:t>tara</w:t>
      </w:r>
      <w:r>
        <w:rPr>
          <w:spacing w:val="-7"/>
          <w:sz w:val="22"/>
        </w:rPr>
        <w:t> </w:t>
      </w:r>
      <w:r>
        <w:rPr>
          <w:sz w:val="22"/>
        </w:rPr>
        <w:t>jew</w:t>
      </w:r>
      <w:r>
        <w:rPr>
          <w:spacing w:val="-7"/>
          <w:sz w:val="22"/>
        </w:rPr>
        <w:t> </w:t>
      </w:r>
      <w:r>
        <w:rPr>
          <w:sz w:val="22"/>
        </w:rPr>
        <w:t>tordna</w:t>
      </w:r>
      <w:r>
        <w:rPr>
          <w:spacing w:val="-7"/>
          <w:sz w:val="22"/>
        </w:rPr>
        <w:t> </w:t>
      </w:r>
      <w:r>
        <w:rPr>
          <w:sz w:val="22"/>
        </w:rPr>
        <w:t>l-pubblikazzjonijiet</w:t>
      </w:r>
      <w:r>
        <w:rPr>
          <w:spacing w:val="-7"/>
          <w:sz w:val="22"/>
        </w:rPr>
        <w:t> </w:t>
      </w:r>
      <w:r>
        <w:rPr>
          <w:sz w:val="22"/>
        </w:rPr>
        <w:t>tal-UE</w:t>
      </w:r>
      <w:r>
        <w:rPr>
          <w:spacing w:val="-7"/>
          <w:sz w:val="22"/>
        </w:rPr>
        <w:t> </w:t>
      </w:r>
      <w:r>
        <w:rPr>
          <w:sz w:val="22"/>
        </w:rPr>
        <w:t>minn</w:t>
      </w:r>
      <w:r>
        <w:rPr>
          <w:spacing w:val="-6"/>
          <w:sz w:val="22"/>
        </w:rPr>
        <w:t> </w:t>
      </w:r>
      <w:hyperlink r:id="rId13">
        <w:r>
          <w:rPr>
            <w:color w:val="337AB7"/>
            <w:spacing w:val="-2"/>
            <w:sz w:val="22"/>
            <w:u w:val="single" w:color="337AB7"/>
          </w:rPr>
          <w:t>op.europa.eu/mt/publications</w:t>
        </w:r>
      </w:hyperlink>
      <w:r>
        <w:rPr>
          <w:spacing w:val="-2"/>
          <w:sz w:val="22"/>
          <w:u w:val="none"/>
        </w:rPr>
        <w:t>.</w:t>
      </w:r>
    </w:p>
    <w:p>
      <w:pPr>
        <w:spacing w:line="290" w:lineRule="auto" w:before="167"/>
        <w:ind w:left="443" w:right="618" w:firstLine="0"/>
        <w:jc w:val="left"/>
        <w:rPr>
          <w:sz w:val="22"/>
        </w:rPr>
      </w:pPr>
      <w:r>
        <w:rPr>
          <w:sz w:val="22"/>
        </w:rPr>
        <w:t>Kopji</w:t>
      </w:r>
      <w:r>
        <w:rPr>
          <w:spacing w:val="-4"/>
          <w:sz w:val="22"/>
        </w:rPr>
        <w:t> </w:t>
      </w:r>
      <w:r>
        <w:rPr>
          <w:sz w:val="22"/>
        </w:rPr>
        <w:t>multipli</w:t>
      </w:r>
      <w:r>
        <w:rPr>
          <w:spacing w:val="-4"/>
          <w:sz w:val="22"/>
        </w:rPr>
        <w:t> </w:t>
      </w:r>
      <w:r>
        <w:rPr>
          <w:sz w:val="22"/>
        </w:rPr>
        <w:t>ta’</w:t>
      </w:r>
      <w:r>
        <w:rPr>
          <w:spacing w:val="-4"/>
          <w:sz w:val="22"/>
        </w:rPr>
        <w:t> </w:t>
      </w:r>
      <w:r>
        <w:rPr>
          <w:sz w:val="22"/>
        </w:rPr>
        <w:t>pubblikazzjonijiet</w:t>
      </w:r>
      <w:r>
        <w:rPr>
          <w:spacing w:val="-4"/>
          <w:sz w:val="22"/>
        </w:rPr>
        <w:t> </w:t>
      </w:r>
      <w:r>
        <w:rPr>
          <w:sz w:val="22"/>
        </w:rPr>
        <w:t>bla</w:t>
      </w:r>
      <w:r>
        <w:rPr>
          <w:spacing w:val="-4"/>
          <w:sz w:val="22"/>
        </w:rPr>
        <w:t> </w:t>
      </w:r>
      <w:r>
        <w:rPr>
          <w:sz w:val="22"/>
        </w:rPr>
        <w:t>ħlas</w:t>
      </w:r>
      <w:r>
        <w:rPr>
          <w:spacing w:val="-4"/>
          <w:sz w:val="22"/>
        </w:rPr>
        <w:t> </w:t>
      </w:r>
      <w:r>
        <w:rPr>
          <w:sz w:val="22"/>
        </w:rPr>
        <w:t>tista’</w:t>
      </w:r>
      <w:r>
        <w:rPr>
          <w:spacing w:val="-4"/>
          <w:sz w:val="22"/>
        </w:rPr>
        <w:t> </w:t>
      </w:r>
      <w:r>
        <w:rPr>
          <w:sz w:val="22"/>
        </w:rPr>
        <w:t>tiksibhom</w:t>
      </w:r>
      <w:r>
        <w:rPr>
          <w:spacing w:val="-4"/>
          <w:sz w:val="22"/>
        </w:rPr>
        <w:t> </w:t>
      </w:r>
      <w:r>
        <w:rPr>
          <w:sz w:val="22"/>
        </w:rPr>
        <w:t>billi</w:t>
      </w:r>
      <w:r>
        <w:rPr>
          <w:spacing w:val="-4"/>
          <w:sz w:val="22"/>
        </w:rPr>
        <w:t> </w:t>
      </w:r>
      <w:r>
        <w:rPr>
          <w:sz w:val="22"/>
        </w:rPr>
        <w:t>tikkuntattja</w:t>
      </w:r>
      <w:r>
        <w:rPr>
          <w:spacing w:val="-4"/>
          <w:sz w:val="22"/>
        </w:rPr>
        <w:t> </w:t>
      </w:r>
      <w:r>
        <w:rPr>
          <w:sz w:val="22"/>
        </w:rPr>
        <w:t>lil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jew liċ-ċentru tad-dokumentazzjoni lokali tiegħek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</w:t>
        </w:r>
      </w:hyperlink>
      <w:r>
        <w:rPr>
          <w:color w:val="337AB7"/>
          <w:sz w:val="22"/>
          <w:u w:val="none"/>
        </w:rPr>
        <w:t> </w:t>
      </w:r>
      <w:hyperlink r:id="rId10">
        <w:r>
          <w:rPr>
            <w:color w:val="337AB7"/>
            <w:spacing w:val="-2"/>
            <w:sz w:val="22"/>
            <w:u w:val="single" w:color="337AB7"/>
          </w:rPr>
          <w:t>us_mt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Il-liġi</w:t>
      </w:r>
      <w:r>
        <w:rPr>
          <w:spacing w:val="-6"/>
        </w:rPr>
        <w:t> </w:t>
      </w:r>
      <w:r>
        <w:rPr/>
        <w:t>tal-UE</w:t>
      </w:r>
      <w:r>
        <w:rPr>
          <w:spacing w:val="-6"/>
        </w:rPr>
        <w:t> </w:t>
      </w:r>
      <w:r>
        <w:rPr/>
        <w:t>u</w:t>
      </w:r>
      <w:r>
        <w:rPr>
          <w:spacing w:val="-6"/>
        </w:rPr>
        <w:t> </w:t>
      </w:r>
      <w:r>
        <w:rPr/>
        <w:t>dokumenti</w:t>
      </w:r>
      <w:r>
        <w:rPr>
          <w:spacing w:val="-5"/>
        </w:rPr>
        <w:t> </w:t>
      </w:r>
      <w:r>
        <w:rPr>
          <w:spacing w:val="-2"/>
        </w:rPr>
        <w:t>relatati</w:t>
      </w:r>
    </w:p>
    <w:p>
      <w:pPr>
        <w:spacing w:line="290" w:lineRule="auto" w:before="166"/>
        <w:ind w:left="443" w:right="53" w:firstLine="0"/>
        <w:jc w:val="left"/>
        <w:rPr>
          <w:sz w:val="22"/>
        </w:rPr>
      </w:pPr>
      <w:r>
        <w:rPr>
          <w:sz w:val="22"/>
        </w:rPr>
        <w:t>Għal</w:t>
      </w:r>
      <w:r>
        <w:rPr>
          <w:spacing w:val="-4"/>
          <w:sz w:val="22"/>
        </w:rPr>
        <w:t> </w:t>
      </w:r>
      <w:r>
        <w:rPr>
          <w:sz w:val="22"/>
        </w:rPr>
        <w:t>aċċess</w:t>
      </w:r>
      <w:r>
        <w:rPr>
          <w:spacing w:val="-4"/>
          <w:sz w:val="22"/>
        </w:rPr>
        <w:t> </w:t>
      </w:r>
      <w:r>
        <w:rPr>
          <w:sz w:val="22"/>
        </w:rPr>
        <w:t>għall-informazzjoni</w:t>
      </w:r>
      <w:r>
        <w:rPr>
          <w:spacing w:val="-4"/>
          <w:sz w:val="22"/>
        </w:rPr>
        <w:t> </w:t>
      </w:r>
      <w:r>
        <w:rPr>
          <w:sz w:val="22"/>
        </w:rPr>
        <w:t>legali</w:t>
      </w:r>
      <w:r>
        <w:rPr>
          <w:spacing w:val="-4"/>
          <w:sz w:val="22"/>
        </w:rPr>
        <w:t> </w:t>
      </w:r>
      <w:r>
        <w:rPr>
          <w:sz w:val="22"/>
        </w:rPr>
        <w:t>tal-UE,</w:t>
      </w:r>
      <w:r>
        <w:rPr>
          <w:spacing w:val="-4"/>
          <w:sz w:val="22"/>
        </w:rPr>
        <w:t> </w:t>
      </w:r>
      <w:r>
        <w:rPr>
          <w:sz w:val="22"/>
        </w:rPr>
        <w:t>inkluż</w:t>
      </w:r>
      <w:r>
        <w:rPr>
          <w:spacing w:val="-4"/>
          <w:sz w:val="22"/>
        </w:rPr>
        <w:t> </w:t>
      </w:r>
      <w:r>
        <w:rPr>
          <w:sz w:val="22"/>
        </w:rPr>
        <w:t>il-liġijiet</w:t>
      </w:r>
      <w:r>
        <w:rPr>
          <w:spacing w:val="-4"/>
          <w:sz w:val="22"/>
        </w:rPr>
        <w:t> </w:t>
      </w:r>
      <w:r>
        <w:rPr>
          <w:sz w:val="22"/>
        </w:rPr>
        <w:t>kollha</w:t>
      </w:r>
      <w:r>
        <w:rPr>
          <w:spacing w:val="-4"/>
          <w:sz w:val="22"/>
        </w:rPr>
        <w:t> </w:t>
      </w:r>
      <w:r>
        <w:rPr>
          <w:sz w:val="22"/>
        </w:rPr>
        <w:t>tal-UE</w:t>
      </w:r>
      <w:r>
        <w:rPr>
          <w:spacing w:val="-4"/>
          <w:sz w:val="22"/>
        </w:rPr>
        <w:t> </w:t>
      </w:r>
      <w:r>
        <w:rPr>
          <w:sz w:val="22"/>
        </w:rPr>
        <w:t>mill-1951</w:t>
      </w:r>
      <w:r>
        <w:rPr>
          <w:spacing w:val="-4"/>
          <w:sz w:val="22"/>
        </w:rPr>
        <w:t> </w:t>
      </w:r>
      <w:r>
        <w:rPr>
          <w:sz w:val="22"/>
        </w:rPr>
        <w:t>’l</w:t>
      </w:r>
      <w:r>
        <w:rPr>
          <w:spacing w:val="-4"/>
          <w:sz w:val="22"/>
        </w:rPr>
        <w:t> </w:t>
      </w:r>
      <w:r>
        <w:rPr>
          <w:sz w:val="22"/>
        </w:rPr>
        <w:t>hawn,</w:t>
      </w:r>
      <w:r>
        <w:rPr>
          <w:spacing w:val="-4"/>
          <w:sz w:val="22"/>
        </w:rPr>
        <w:t> </w:t>
      </w:r>
      <w:r>
        <w:rPr>
          <w:sz w:val="22"/>
        </w:rPr>
        <w:t>fil- verżjonijiet lingwistiċi uffiċjali kollha, żur is-sit EUR-Lex (</w:t>
      </w:r>
      <w:hyperlink r:id="rId14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spacing w:before="113"/>
        <w:ind w:left="443" w:right="0" w:firstLine="0"/>
        <w:jc w:val="left"/>
        <w:rPr>
          <w:b/>
          <w:sz w:val="22"/>
        </w:rPr>
      </w:pPr>
      <w:r>
        <w:rPr>
          <w:b/>
          <w:i/>
          <w:sz w:val="22"/>
        </w:rPr>
        <w:t>Data</w:t>
      </w:r>
      <w:r>
        <w:rPr>
          <w:b/>
          <w:i/>
          <w:spacing w:val="-8"/>
          <w:sz w:val="22"/>
        </w:rPr>
        <w:t> </w:t>
      </w:r>
      <w:r>
        <w:rPr>
          <w:b/>
          <w:sz w:val="22"/>
        </w:rPr>
        <w:t>miftuħa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tal-</w:t>
      </w:r>
      <w:r>
        <w:rPr>
          <w:b/>
          <w:spacing w:val="-5"/>
          <w:sz w:val="22"/>
        </w:rPr>
        <w:t>UE</w:t>
      </w:r>
    </w:p>
    <w:p>
      <w:pPr>
        <w:spacing w:line="290" w:lineRule="auto" w:before="167"/>
        <w:ind w:left="443" w:right="722" w:firstLine="0"/>
        <w:jc w:val="left"/>
        <w:rPr>
          <w:sz w:val="22"/>
        </w:rPr>
      </w:pPr>
      <w:r>
        <w:rPr>
          <w:sz w:val="22"/>
        </w:rPr>
        <w:t>Il-portal </w:t>
      </w:r>
      <w:hyperlink r:id="rId15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z w:val="22"/>
          <w:u w:val="none"/>
        </w:rPr>
        <w:t> </w:t>
      </w:r>
      <w:r>
        <w:rPr>
          <w:sz w:val="22"/>
          <w:u w:val="none"/>
        </w:rPr>
        <w:t>jagħti aċċess għal settijiet tad-</w:t>
      </w:r>
      <w:r>
        <w:rPr>
          <w:i/>
          <w:sz w:val="22"/>
          <w:u w:val="none"/>
        </w:rPr>
        <w:t>data </w:t>
      </w:r>
      <w:r>
        <w:rPr>
          <w:sz w:val="22"/>
          <w:u w:val="none"/>
        </w:rPr>
        <w:t>miftuħa mill-istituzzjonijiet, il- korpi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ul-aġenziji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tal-UE.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Dawn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jistgħu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jitniżżlu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jerġgħu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jintużaw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mingħajr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ħlas,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għal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skopijiet kummerċjali u mhux kummerċjali. Il-portal jagħti aċċess ukoll għal għadd kbir ta’ settijiet</w:t>
      </w:r>
    </w:p>
    <w:p>
      <w:pPr>
        <w:spacing w:line="253" w:lineRule="exact" w:before="0"/>
        <w:ind w:left="443" w:right="0" w:firstLine="0"/>
        <w:jc w:val="left"/>
        <w:rPr>
          <w:sz w:val="22"/>
        </w:rPr>
      </w:pPr>
      <w:r>
        <w:rPr>
          <w:sz w:val="22"/>
        </w:rPr>
        <w:t>tad-</w:t>
      </w:r>
      <w:r>
        <w:rPr>
          <w:i/>
          <w:sz w:val="22"/>
        </w:rPr>
        <w:t>data</w:t>
      </w:r>
      <w:r>
        <w:rPr>
          <w:i/>
          <w:spacing w:val="-9"/>
          <w:sz w:val="22"/>
        </w:rPr>
        <w:t> </w:t>
      </w:r>
      <w:r>
        <w:rPr>
          <w:sz w:val="22"/>
        </w:rPr>
        <w:t>mill-pajjiżi</w:t>
      </w:r>
      <w:r>
        <w:rPr>
          <w:spacing w:val="-8"/>
          <w:sz w:val="22"/>
        </w:rPr>
        <w:t> </w:t>
      </w:r>
      <w:r>
        <w:rPr>
          <w:spacing w:val="-2"/>
          <w:sz w:val="22"/>
        </w:rPr>
        <w:t>Ewropej.</w:t>
      </w:r>
    </w:p>
    <w:sectPr>
      <w:pgSz w:w="11910" w:h="16840"/>
      <w:pgMar w:top="880" w:bottom="280" w:left="86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  <w:font w:name="Microsoft Sans Serif">
    <w:altName w:val="Microsoft Sans Serif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mt" w:eastAsia="en-US" w:bidi="ar-SA"/>
      </w:rPr>
    </w:lvl>
    <w:lvl w:ilvl="1">
      <w:start w:val="0"/>
      <w:numFmt w:val="bullet"/>
      <w:lvlText w:val="•"/>
      <w:lvlJc w:val="left"/>
      <w:pPr>
        <w:ind w:left="2056" w:hanging="400"/>
      </w:pPr>
      <w:rPr>
        <w:rFonts w:hint="default"/>
        <w:lang w:val="mt" w:eastAsia="en-US" w:bidi="ar-SA"/>
      </w:rPr>
    </w:lvl>
    <w:lvl w:ilvl="2">
      <w:start w:val="0"/>
      <w:numFmt w:val="bullet"/>
      <w:lvlText w:val="•"/>
      <w:lvlJc w:val="left"/>
      <w:pPr>
        <w:ind w:left="2953" w:hanging="400"/>
      </w:pPr>
      <w:rPr>
        <w:rFonts w:hint="default"/>
        <w:lang w:val="mt" w:eastAsia="en-US" w:bidi="ar-SA"/>
      </w:rPr>
    </w:lvl>
    <w:lvl w:ilvl="3">
      <w:start w:val="0"/>
      <w:numFmt w:val="bullet"/>
      <w:lvlText w:val="•"/>
      <w:lvlJc w:val="left"/>
      <w:pPr>
        <w:ind w:left="3850" w:hanging="400"/>
      </w:pPr>
      <w:rPr>
        <w:rFonts w:hint="default"/>
        <w:lang w:val="mt" w:eastAsia="en-US" w:bidi="ar-SA"/>
      </w:rPr>
    </w:lvl>
    <w:lvl w:ilvl="4">
      <w:start w:val="0"/>
      <w:numFmt w:val="bullet"/>
      <w:lvlText w:val="•"/>
      <w:lvlJc w:val="left"/>
      <w:pPr>
        <w:ind w:left="4747" w:hanging="400"/>
      </w:pPr>
      <w:rPr>
        <w:rFonts w:hint="default"/>
        <w:lang w:val="mt" w:eastAsia="en-US" w:bidi="ar-SA"/>
      </w:rPr>
    </w:lvl>
    <w:lvl w:ilvl="5">
      <w:start w:val="0"/>
      <w:numFmt w:val="bullet"/>
      <w:lvlText w:val="•"/>
      <w:lvlJc w:val="left"/>
      <w:pPr>
        <w:ind w:left="5644" w:hanging="400"/>
      </w:pPr>
      <w:rPr>
        <w:rFonts w:hint="default"/>
        <w:lang w:val="mt" w:eastAsia="en-US" w:bidi="ar-SA"/>
      </w:rPr>
    </w:lvl>
    <w:lvl w:ilvl="6">
      <w:start w:val="0"/>
      <w:numFmt w:val="bullet"/>
      <w:lvlText w:val="•"/>
      <w:lvlJc w:val="left"/>
      <w:pPr>
        <w:ind w:left="6541" w:hanging="400"/>
      </w:pPr>
      <w:rPr>
        <w:rFonts w:hint="default"/>
        <w:lang w:val="mt" w:eastAsia="en-US" w:bidi="ar-SA"/>
      </w:rPr>
    </w:lvl>
    <w:lvl w:ilvl="7">
      <w:start w:val="0"/>
      <w:numFmt w:val="bullet"/>
      <w:lvlText w:val="•"/>
      <w:lvlJc w:val="left"/>
      <w:pPr>
        <w:ind w:left="7438" w:hanging="400"/>
      </w:pPr>
      <w:rPr>
        <w:rFonts w:hint="default"/>
        <w:lang w:val="mt" w:eastAsia="en-US" w:bidi="ar-SA"/>
      </w:rPr>
    </w:lvl>
    <w:lvl w:ilvl="8">
      <w:start w:val="0"/>
      <w:numFmt w:val="bullet"/>
      <w:lvlText w:val="•"/>
      <w:lvlJc w:val="left"/>
      <w:pPr>
        <w:ind w:left="8335" w:hanging="400"/>
      </w:pPr>
      <w:rPr>
        <w:rFonts w:hint="default"/>
        <w:lang w:val="m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mt" w:eastAsia="en-US" w:bidi="ar-SA"/>
      </w:rPr>
    </w:lvl>
    <w:lvl w:ilvl="1">
      <w:start w:val="0"/>
      <w:numFmt w:val="bullet"/>
      <w:lvlText w:val="•"/>
      <w:lvlJc w:val="left"/>
      <w:pPr>
        <w:ind w:left="1426" w:hanging="300"/>
      </w:pPr>
      <w:rPr>
        <w:rFonts w:hint="default"/>
        <w:lang w:val="mt" w:eastAsia="en-US" w:bidi="ar-SA"/>
      </w:rPr>
    </w:lvl>
    <w:lvl w:ilvl="2">
      <w:start w:val="0"/>
      <w:numFmt w:val="bullet"/>
      <w:lvlText w:val="•"/>
      <w:lvlJc w:val="left"/>
      <w:pPr>
        <w:ind w:left="2393" w:hanging="300"/>
      </w:pPr>
      <w:rPr>
        <w:rFonts w:hint="default"/>
        <w:lang w:val="mt" w:eastAsia="en-US" w:bidi="ar-SA"/>
      </w:rPr>
    </w:lvl>
    <w:lvl w:ilvl="3">
      <w:start w:val="0"/>
      <w:numFmt w:val="bullet"/>
      <w:lvlText w:val="•"/>
      <w:lvlJc w:val="left"/>
      <w:pPr>
        <w:ind w:left="3360" w:hanging="300"/>
      </w:pPr>
      <w:rPr>
        <w:rFonts w:hint="default"/>
        <w:lang w:val="mt" w:eastAsia="en-US" w:bidi="ar-SA"/>
      </w:rPr>
    </w:lvl>
    <w:lvl w:ilvl="4">
      <w:start w:val="0"/>
      <w:numFmt w:val="bullet"/>
      <w:lvlText w:val="•"/>
      <w:lvlJc w:val="left"/>
      <w:pPr>
        <w:ind w:left="4327" w:hanging="300"/>
      </w:pPr>
      <w:rPr>
        <w:rFonts w:hint="default"/>
        <w:lang w:val="mt" w:eastAsia="en-US" w:bidi="ar-SA"/>
      </w:rPr>
    </w:lvl>
    <w:lvl w:ilvl="5">
      <w:start w:val="0"/>
      <w:numFmt w:val="bullet"/>
      <w:lvlText w:val="•"/>
      <w:lvlJc w:val="left"/>
      <w:pPr>
        <w:ind w:left="5294" w:hanging="300"/>
      </w:pPr>
      <w:rPr>
        <w:rFonts w:hint="default"/>
        <w:lang w:val="mt" w:eastAsia="en-US" w:bidi="ar-SA"/>
      </w:rPr>
    </w:lvl>
    <w:lvl w:ilvl="6">
      <w:start w:val="0"/>
      <w:numFmt w:val="bullet"/>
      <w:lvlText w:val="•"/>
      <w:lvlJc w:val="left"/>
      <w:pPr>
        <w:ind w:left="6261" w:hanging="300"/>
      </w:pPr>
      <w:rPr>
        <w:rFonts w:hint="default"/>
        <w:lang w:val="mt" w:eastAsia="en-US" w:bidi="ar-SA"/>
      </w:rPr>
    </w:lvl>
    <w:lvl w:ilvl="7">
      <w:start w:val="0"/>
      <w:numFmt w:val="bullet"/>
      <w:lvlText w:val="•"/>
      <w:lvlJc w:val="left"/>
      <w:pPr>
        <w:ind w:left="7228" w:hanging="300"/>
      </w:pPr>
      <w:rPr>
        <w:rFonts w:hint="default"/>
        <w:lang w:val="mt" w:eastAsia="en-US" w:bidi="ar-SA"/>
      </w:rPr>
    </w:lvl>
    <w:lvl w:ilvl="8">
      <w:start w:val="0"/>
      <w:numFmt w:val="bullet"/>
      <w:lvlText w:val="•"/>
      <w:lvlJc w:val="left"/>
      <w:pPr>
        <w:ind w:left="8195" w:hanging="300"/>
      </w:pPr>
      <w:rPr>
        <w:rFonts w:hint="default"/>
        <w:lang w:val="m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mt" w:eastAsia="en-US" w:bidi="ar-SA"/>
      </w:rPr>
    </w:lvl>
    <w:lvl w:ilvl="1">
      <w:start w:val="0"/>
      <w:numFmt w:val="bullet"/>
      <w:lvlText w:val="•"/>
      <w:lvlJc w:val="left"/>
      <w:pPr>
        <w:ind w:left="1804" w:hanging="380"/>
      </w:pPr>
      <w:rPr>
        <w:rFonts w:hint="default"/>
        <w:lang w:val="mt" w:eastAsia="en-US" w:bidi="ar-SA"/>
      </w:rPr>
    </w:lvl>
    <w:lvl w:ilvl="2">
      <w:start w:val="0"/>
      <w:numFmt w:val="bullet"/>
      <w:lvlText w:val="•"/>
      <w:lvlJc w:val="left"/>
      <w:pPr>
        <w:ind w:left="2729" w:hanging="380"/>
      </w:pPr>
      <w:rPr>
        <w:rFonts w:hint="default"/>
        <w:lang w:val="mt" w:eastAsia="en-US" w:bidi="ar-SA"/>
      </w:rPr>
    </w:lvl>
    <w:lvl w:ilvl="3">
      <w:start w:val="0"/>
      <w:numFmt w:val="bullet"/>
      <w:lvlText w:val="•"/>
      <w:lvlJc w:val="left"/>
      <w:pPr>
        <w:ind w:left="3654" w:hanging="380"/>
      </w:pPr>
      <w:rPr>
        <w:rFonts w:hint="default"/>
        <w:lang w:val="mt" w:eastAsia="en-US" w:bidi="ar-SA"/>
      </w:rPr>
    </w:lvl>
    <w:lvl w:ilvl="4">
      <w:start w:val="0"/>
      <w:numFmt w:val="bullet"/>
      <w:lvlText w:val="•"/>
      <w:lvlJc w:val="left"/>
      <w:pPr>
        <w:ind w:left="4579" w:hanging="380"/>
      </w:pPr>
      <w:rPr>
        <w:rFonts w:hint="default"/>
        <w:lang w:val="mt" w:eastAsia="en-US" w:bidi="ar-SA"/>
      </w:rPr>
    </w:lvl>
    <w:lvl w:ilvl="5">
      <w:start w:val="0"/>
      <w:numFmt w:val="bullet"/>
      <w:lvlText w:val="•"/>
      <w:lvlJc w:val="left"/>
      <w:pPr>
        <w:ind w:left="5504" w:hanging="380"/>
      </w:pPr>
      <w:rPr>
        <w:rFonts w:hint="default"/>
        <w:lang w:val="mt" w:eastAsia="en-US" w:bidi="ar-SA"/>
      </w:rPr>
    </w:lvl>
    <w:lvl w:ilvl="6">
      <w:start w:val="0"/>
      <w:numFmt w:val="bullet"/>
      <w:lvlText w:val="•"/>
      <w:lvlJc w:val="left"/>
      <w:pPr>
        <w:ind w:left="6429" w:hanging="380"/>
      </w:pPr>
      <w:rPr>
        <w:rFonts w:hint="default"/>
        <w:lang w:val="mt" w:eastAsia="en-US" w:bidi="ar-SA"/>
      </w:rPr>
    </w:lvl>
    <w:lvl w:ilvl="7">
      <w:start w:val="0"/>
      <w:numFmt w:val="bullet"/>
      <w:lvlText w:val="•"/>
      <w:lvlJc w:val="left"/>
      <w:pPr>
        <w:ind w:left="7354" w:hanging="380"/>
      </w:pPr>
      <w:rPr>
        <w:rFonts w:hint="default"/>
        <w:lang w:val="mt" w:eastAsia="en-US" w:bidi="ar-SA"/>
      </w:rPr>
    </w:lvl>
    <w:lvl w:ilvl="8">
      <w:start w:val="0"/>
      <w:numFmt w:val="bullet"/>
      <w:lvlText w:val="•"/>
      <w:lvlJc w:val="left"/>
      <w:pPr>
        <w:ind w:left="8279" w:hanging="380"/>
      </w:pPr>
      <w:rPr>
        <w:rFonts w:hint="default"/>
        <w:lang w:val="m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m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mt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mt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mt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mt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m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https://style-guide.europa.eu/en/content/-/isg/topic?identifier=5.4.4-other-disclaimers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mt" TargetMode="External"/><Relationship Id="rId11" Type="http://schemas.openxmlformats.org/officeDocument/2006/relationships/hyperlink" Target="https://european-union.europa.eu/contact-eu/write-us_mt" TargetMode="External"/><Relationship Id="rId12" Type="http://schemas.openxmlformats.org/officeDocument/2006/relationships/hyperlink" Target="https://european-union.europa.eu/index_mt" TargetMode="External"/><Relationship Id="rId13" Type="http://schemas.openxmlformats.org/officeDocument/2006/relationships/hyperlink" Target="https://op.europa.eu/mt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mt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MT</dc:title>
  <dcterms:created xsi:type="dcterms:W3CDTF">2025-01-15T08:13:54Z</dcterms:created>
  <dcterms:modified xsi:type="dcterms:W3CDTF">2025-01-15T08:13:54Z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