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153" w:right="4385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846"/>
      </w:pPr>
      <w:r>
        <w:rPr/>
        <w:t>Käesolev</w:t>
      </w:r>
      <w:r>
        <w:rPr>
          <w:spacing w:val="-8"/>
        </w:rPr>
        <w:t> </w:t>
      </w:r>
      <w:r>
        <w:rPr/>
        <w:t>dokument</w:t>
      </w:r>
      <w:r>
        <w:rPr>
          <w:spacing w:val="-8"/>
        </w:rPr>
        <w:t> </w:t>
      </w:r>
      <w:r>
        <w:rPr/>
        <w:t>ei</w:t>
      </w:r>
      <w:r>
        <w:rPr>
          <w:spacing w:val="-8"/>
        </w:rPr>
        <w:t> </w:t>
      </w:r>
      <w:r>
        <w:rPr/>
        <w:t>kajasta</w:t>
      </w:r>
      <w:r>
        <w:rPr>
          <w:spacing w:val="-8"/>
        </w:rPr>
        <w:t> </w:t>
      </w:r>
      <w:r>
        <w:rPr/>
        <w:t>[institutsiooni/organi/teenistuse]</w:t>
      </w:r>
      <w:r>
        <w:rPr>
          <w:spacing w:val="-8"/>
        </w:rPr>
        <w:t> </w:t>
      </w:r>
      <w:r>
        <w:rPr/>
        <w:t>ametlikku</w:t>
      </w:r>
      <w:r>
        <w:rPr>
          <w:spacing w:val="-8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Liit,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4385"/>
      </w:pPr>
      <w:r>
        <w:rPr/>
        <w:t>©</w:t>
      </w:r>
      <w:r>
        <w:rPr>
          <w:spacing w:val="-5"/>
        </w:rPr>
        <w:t> </w:t>
      </w:r>
      <w:r>
        <w:rPr/>
        <w:t>Euroopa</w:t>
      </w:r>
      <w:r>
        <w:rPr>
          <w:spacing w:val="-5"/>
        </w:rPr>
        <w:t> </w:t>
      </w:r>
      <w:r>
        <w:rPr/>
        <w:t>Liit,</w:t>
      </w:r>
      <w:r>
        <w:rPr>
          <w:spacing w:val="-5"/>
        </w:rPr>
        <w:t> </w:t>
      </w:r>
      <w:r>
        <w:rPr/>
        <w:t>[aasta].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sisust</w:t>
      </w:r>
      <w:r>
        <w:rPr>
          <w:spacing w:val="-5"/>
        </w:rPr>
        <w:t> </w:t>
      </w:r>
      <w:r>
        <w:rPr/>
        <w:t>loodi</w:t>
      </w:r>
      <w:r>
        <w:rPr>
          <w:spacing w:val="-5"/>
        </w:rPr>
        <w:t> </w:t>
      </w:r>
      <w:r>
        <w:rPr/>
        <w:t>[TI</w:t>
      </w:r>
      <w:r>
        <w:rPr>
          <w:spacing w:val="-5"/>
        </w:rPr>
        <w:t> </w:t>
      </w:r>
      <w:r>
        <w:rPr/>
        <w:t>tööriista</w:t>
      </w:r>
      <w:r>
        <w:rPr>
          <w:spacing w:val="-5"/>
        </w:rPr>
        <w:t> </w:t>
      </w:r>
      <w:r>
        <w:rPr/>
        <w:t>nimi]</w:t>
      </w:r>
      <w:r>
        <w:rPr>
          <w:spacing w:val="-5"/>
        </w:rPr>
        <w:t> </w:t>
      </w:r>
      <w:r>
        <w:rPr/>
        <w:t>abil. Taasesitamine on lubatud tingimusel, et viidatakse allikale.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 Euroopa Liidul ega [rakendusamet]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66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437" w:right="474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76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437" w:right="1279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437" w:right="474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0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7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437" w:right="474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437" w:right="474" w:firstLine="0"/>
        <w:jc w:val="left"/>
        <w:rPr>
          <w:sz w:val="22"/>
        </w:rPr>
      </w:pPr>
      <w:r>
        <w:rPr>
          <w:sz w:val="22"/>
        </w:rPr>
        <w:t>Portaal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t-E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t" TargetMode="External"/><Relationship Id="rId8" Type="http://schemas.openxmlformats.org/officeDocument/2006/relationships/hyperlink" Target="https://european-union.europa.eu/contact-eu/write-us_et" TargetMode="External"/><Relationship Id="rId9" Type="http://schemas.openxmlformats.org/officeDocument/2006/relationships/hyperlink" Target="https://european-union.europa.eu/index_et" TargetMode="External"/><Relationship Id="rId10" Type="http://schemas.openxmlformats.org/officeDocument/2006/relationships/hyperlink" Target="https://op.europa.eu/e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ET</dc:title>
  <dcterms:created xsi:type="dcterms:W3CDTF">2025-04-28T11:41:17Z</dcterms:created>
  <dcterms:modified xsi:type="dcterms:W3CDTF">2025-04-28T11:41:17Z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