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HR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right="49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4942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348" w:lineRule="auto"/>
        <w:ind w:right="3931"/>
      </w:pPr>
      <w:r>
        <w:rPr/>
        <w:t>©</w:t>
      </w:r>
      <w:r>
        <w:rPr>
          <w:spacing w:val="-5"/>
        </w:rPr>
        <w:t> </w:t>
      </w:r>
      <w:r>
        <w:rPr/>
        <w:t>[Europska</w:t>
      </w:r>
      <w:r>
        <w:rPr>
          <w:spacing w:val="-5"/>
        </w:rPr>
        <w:t> </w:t>
      </w:r>
      <w:r>
        <w:rPr/>
        <w:t>unija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zajednica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atomsku</w:t>
      </w:r>
      <w:r>
        <w:rPr>
          <w:spacing w:val="-5"/>
        </w:rPr>
        <w:t> </w:t>
      </w:r>
      <w:r>
        <w:rPr/>
        <w:t>energiju],</w:t>
      </w:r>
      <w:r>
        <w:rPr>
          <w:spacing w:val="-5"/>
        </w:rPr>
        <w:t> </w:t>
      </w:r>
      <w:r>
        <w:rPr/>
        <w:t>[godina.]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energiju],</w:t>
      </w:r>
      <w:r>
        <w:rPr>
          <w:spacing w:val="-3"/>
        </w:rPr>
        <w:t> </w:t>
      </w:r>
      <w:r>
        <w:rPr/>
        <w:t>[godina.]</w:t>
      </w:r>
      <w:r>
        <w:rPr>
          <w:spacing w:val="-2"/>
        </w:rPr>
        <w:t> </w:t>
      </w:r>
      <w:r>
        <w:rPr/>
        <w:t>Određeni</w:t>
      </w:r>
      <w:r>
        <w:rPr>
          <w:spacing w:val="-3"/>
        </w:rPr>
        <w:t> </w:t>
      </w:r>
      <w:r>
        <w:rPr/>
        <w:t>sadržaj</w:t>
      </w:r>
      <w:r>
        <w:rPr>
          <w:spacing w:val="-3"/>
        </w:rPr>
        <w:t> </w:t>
      </w:r>
      <w:r>
        <w:rPr/>
        <w:t>stvoren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s</w:t>
      </w:r>
      <w:r>
        <w:rPr>
          <w:spacing w:val="-3"/>
        </w:rPr>
        <w:t> </w:t>
      </w:r>
      <w:r>
        <w:rPr/>
        <w:t>pomoću</w:t>
      </w:r>
      <w:r>
        <w:rPr>
          <w:spacing w:val="-3"/>
        </w:rPr>
        <w:t> </w:t>
      </w:r>
      <w:r>
        <w:rPr/>
        <w:t>[naziv alata UI].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Politika</w:t>
      </w:r>
      <w:r>
        <w:rPr>
          <w:spacing w:val="-5"/>
        </w:rPr>
        <w:t> </w:t>
      </w:r>
      <w:r>
        <w:rPr/>
        <w:t>Komisije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ponovnoj</w:t>
      </w:r>
      <w:r>
        <w:rPr>
          <w:spacing w:val="-5"/>
        </w:rPr>
        <w:t> </w:t>
      </w:r>
      <w:r>
        <w:rPr/>
        <w:t>uporabi</w:t>
      </w:r>
      <w:r>
        <w:rPr>
          <w:spacing w:val="-5"/>
        </w:rPr>
        <w:t> </w:t>
      </w:r>
      <w:r>
        <w:rPr/>
        <w:t>provodi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Odlukom</w:t>
      </w:r>
      <w:r>
        <w:rPr>
          <w:spacing w:val="-5"/>
        </w:rPr>
        <w:t> </w:t>
      </w:r>
      <w:r>
        <w:rPr/>
        <w:t>Komisije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od</w:t>
      </w:r>
      <w:r>
        <w:rPr>
          <w:spacing w:val="-5"/>
        </w:rPr>
        <w:t> </w:t>
      </w:r>
      <w:r>
        <w:rPr/>
        <w:t>12.</w:t>
      </w:r>
      <w:r>
        <w:rPr>
          <w:spacing w:val="-5"/>
        </w:rPr>
        <w:t> </w:t>
      </w:r>
      <w:r>
        <w:rPr/>
        <w:t>prosinca</w:t>
      </w:r>
      <w:r>
        <w:rPr>
          <w:spacing w:val="-5"/>
        </w:rPr>
        <w:t> </w:t>
      </w:r>
      <w:r>
        <w:rPr/>
        <w:t>2011.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ponovnoj uporabi dokumenata Komisije (SL L 330, 14.12.2011., str. 39.,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Osim ako je navedeno drukčije, ponovna uporaba ovog dokumenta dopuštena je u skladu s licencijom Creative 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znači</w:t>
      </w:r>
      <w:r>
        <w:rPr>
          <w:spacing w:val="-6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 ponovna uporaba dopuštena uz navođenje relevantnih podataka i svih izmjena.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Za svaku uporabu ili umnožavanje elemenata koji nisu u vlasništvu Europske unije možda će biti potrebno zatražiti dopuštenje</w:t>
      </w:r>
      <w:r>
        <w:rPr>
          <w:spacing w:val="-3"/>
        </w:rPr>
        <w:t> </w:t>
      </w:r>
      <w:r>
        <w:rPr/>
        <w:t>izravno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odgovarajućih</w:t>
      </w:r>
      <w:r>
        <w:rPr>
          <w:spacing w:val="-3"/>
        </w:rPr>
        <w:t> </w:t>
      </w:r>
      <w:r>
        <w:rPr/>
        <w:t>nositelja</w:t>
      </w:r>
      <w:r>
        <w:rPr>
          <w:spacing w:val="-3"/>
        </w:rPr>
        <w:t> </w:t>
      </w:r>
      <w:r>
        <w:rPr/>
        <w:t>prava.</w:t>
      </w:r>
      <w:r>
        <w:rPr>
          <w:spacing w:val="-2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posjeduje</w:t>
      </w:r>
      <w:r>
        <w:rPr>
          <w:spacing w:val="-3"/>
        </w:rPr>
        <w:t> </w:t>
      </w:r>
      <w:r>
        <w:rPr/>
        <w:t>autorsko</w:t>
      </w:r>
      <w:r>
        <w:rPr>
          <w:spacing w:val="-3"/>
        </w:rPr>
        <w:t> </w:t>
      </w:r>
      <w:r>
        <w:rPr/>
        <w:t>pravo</w:t>
      </w:r>
      <w:r>
        <w:rPr>
          <w:spacing w:val="-3"/>
        </w:rPr>
        <w:t> </w:t>
      </w:r>
      <w:r>
        <w:rPr/>
        <w:t>koje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odnosi</w:t>
      </w:r>
      <w:r>
        <w:rPr>
          <w:spacing w:val="-3"/>
        </w:rPr>
        <w:t> </w:t>
      </w:r>
      <w:r>
        <w:rPr/>
        <w:t>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904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</w:t>
      </w:r>
      <w:r>
        <w:rPr>
          <w:spacing w:val="-3"/>
        </w:rPr>
        <w:t> </w:t>
      </w:r>
      <w:r>
        <w:rPr/>
        <w:t>zatražiti dopuštenje izravno od odgovarajućih nositelja prava.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uporaba</w:t>
      </w:r>
      <w:r>
        <w:rPr>
          <w:spacing w:val="-3"/>
          <w:sz w:val="18"/>
        </w:rPr>
        <w:t> </w:t>
      </w:r>
      <w:r>
        <w:rPr>
          <w:sz w:val="18"/>
        </w:rPr>
        <w:t>dopuštena</w:t>
      </w:r>
      <w:r>
        <w:rPr>
          <w:spacing w:val="-3"/>
          <w:sz w:val="18"/>
        </w:rPr>
        <w:t> </w:t>
      </w:r>
      <w:r>
        <w:rPr>
          <w:sz w:val="18"/>
        </w:rPr>
        <w:t>uz</w:t>
      </w:r>
      <w:r>
        <w:rPr>
          <w:spacing w:val="-3"/>
          <w:sz w:val="18"/>
        </w:rPr>
        <w:t> </w:t>
      </w:r>
      <w:r>
        <w:rPr>
          <w:sz w:val="18"/>
        </w:rPr>
        <w:t>uvjet</w:t>
      </w:r>
      <w:r>
        <w:rPr>
          <w:spacing w:val="-3"/>
          <w:sz w:val="18"/>
        </w:rPr>
        <w:t> </w:t>
      </w:r>
      <w:r>
        <w:rPr>
          <w:sz w:val="18"/>
        </w:rPr>
        <w:t>navođenja</w:t>
      </w:r>
      <w:r>
        <w:rPr>
          <w:spacing w:val="-3"/>
          <w:sz w:val="18"/>
        </w:rPr>
        <w:t> </w:t>
      </w:r>
      <w:r>
        <w:rPr>
          <w:sz w:val="18"/>
        </w:rPr>
        <w:t>izvora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nenarušavanja</w:t>
      </w:r>
      <w:r>
        <w:rPr>
          <w:spacing w:val="-3"/>
          <w:sz w:val="18"/>
        </w:rPr>
        <w:t> </w:t>
      </w:r>
      <w:r>
        <w:rPr>
          <w:sz w:val="18"/>
        </w:rPr>
        <w:t>izvornog</w:t>
      </w:r>
      <w:r>
        <w:rPr>
          <w:spacing w:val="-3"/>
          <w:sz w:val="18"/>
        </w:rPr>
        <w:t> </w:t>
      </w:r>
      <w:r>
        <w:rPr>
          <w:sz w:val="18"/>
        </w:rPr>
        <w:t>značenja</w:t>
      </w:r>
      <w:r>
        <w:rPr>
          <w:spacing w:val="-3"/>
          <w:sz w:val="18"/>
        </w:rPr>
        <w:t> </w:t>
      </w:r>
      <w:r>
        <w:rPr>
          <w:sz w:val="18"/>
        </w:rPr>
        <w:t>ili</w:t>
      </w:r>
      <w:r>
        <w:rPr>
          <w:spacing w:val="-3"/>
          <w:sz w:val="18"/>
        </w:rPr>
        <w:t> </w:t>
      </w:r>
      <w:r>
        <w:rPr>
          <w:sz w:val="18"/>
        </w:rPr>
        <w:t>poruke</w:t>
      </w:r>
      <w:r>
        <w:rPr>
          <w:spacing w:val="-3"/>
          <w:sz w:val="18"/>
        </w:rPr>
        <w:t> </w:t>
      </w:r>
      <w:r>
        <w:rPr>
          <w:sz w:val="18"/>
        </w:rPr>
        <w:t>ovog</w:t>
      </w:r>
      <w:r>
        <w:rPr>
          <w:spacing w:val="-3"/>
          <w:sz w:val="18"/>
        </w:rPr>
        <w:t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 12. prosinca 2011.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ponovnoj</w:t>
      </w:r>
      <w:r>
        <w:rPr>
          <w:spacing w:val="-6"/>
          <w:sz w:val="18"/>
        </w:rPr>
        <w:t> </w:t>
      </w:r>
      <w:r>
        <w:rPr>
          <w:sz w:val="18"/>
        </w:rPr>
        <w:t>uporabi</w:t>
      </w:r>
      <w:r>
        <w:rPr>
          <w:spacing w:val="-6"/>
          <w:sz w:val="18"/>
        </w:rPr>
        <w:t> </w:t>
      </w:r>
      <w:r>
        <w:rPr>
          <w:sz w:val="18"/>
        </w:rPr>
        <w:t>dokumenata</w:t>
      </w:r>
      <w:r>
        <w:rPr>
          <w:spacing w:val="-6"/>
          <w:sz w:val="18"/>
        </w:rPr>
        <w:t> </w:t>
      </w:r>
      <w:r>
        <w:rPr>
          <w:sz w:val="18"/>
        </w:rPr>
        <w:t>Komisije</w:t>
      </w:r>
      <w:r>
        <w:rPr>
          <w:spacing w:val="-6"/>
          <w:sz w:val="18"/>
        </w:rPr>
        <w:t> </w:t>
      </w:r>
      <w:r>
        <w:rPr>
          <w:sz w:val="18"/>
        </w:rPr>
        <w:t>(SL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7"/>
          <w:sz w:val="18"/>
        </w:rPr>
        <w:t> </w:t>
      </w:r>
      <w:r>
        <w:rPr>
          <w:sz w:val="18"/>
        </w:rPr>
        <w:t>330,</w:t>
      </w:r>
      <w:r>
        <w:rPr>
          <w:spacing w:val="-6"/>
          <w:sz w:val="18"/>
        </w:rPr>
        <w:t> </w:t>
      </w:r>
      <w:r>
        <w:rPr>
          <w:sz w:val="18"/>
        </w:rPr>
        <w:t>14.12.2011.,</w:t>
      </w:r>
      <w:r>
        <w:rPr>
          <w:spacing w:val="-6"/>
          <w:sz w:val="18"/>
        </w:rPr>
        <w:t> </w:t>
      </w:r>
      <w:r>
        <w:rPr>
          <w:sz w:val="18"/>
        </w:rPr>
        <w:t>str.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332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HR</dc:title>
  <dcterms:created xsi:type="dcterms:W3CDTF">2025-04-28T11:42:27Z</dcterms:created>
  <dcterms:modified xsi:type="dcterms:W3CDTF">2025-04-28T11:42:27Z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