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5965" w:firstLine="0"/>
        <w:jc w:val="left"/>
        <w:rPr>
          <w:sz w:val="20"/>
        </w:rPr>
      </w:pPr>
      <w:bookmarkStart w:name="Europan Union executive agencies PL" w:id="1"/>
      <w:bookmarkEnd w:id="1"/>
      <w:r>
        <w:rPr/>
      </w:r>
      <w:r>
        <w:rPr>
          <w:color w:val="FF0000"/>
          <w:sz w:val="20"/>
        </w:rPr>
        <w:t>Europan Union executive agencies PL </w:t>
      </w: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kraju]</w:t>
      </w:r>
      <w:r>
        <w:rPr>
          <w:i/>
          <w:sz w:val="20"/>
        </w:rPr>
        <w:t> </w:t>
      </w:r>
      <w:r>
        <w:rPr>
          <w:sz w:val="20"/>
        </w:rPr>
        <w:t>Dokument ukończony w [miesiąc] [rok] r.</w:t>
      </w:r>
    </w:p>
    <w:p>
      <w:pPr>
        <w:pStyle w:val="BodyText"/>
        <w:spacing w:line="227" w:lineRule="exact"/>
      </w:pPr>
      <w:r>
        <w:rPr/>
        <w:t>Wydanie</w:t>
      </w:r>
      <w:r>
        <w:rPr>
          <w:spacing w:val="-12"/>
        </w:rPr>
        <w:t> </w:t>
      </w:r>
      <w:r>
        <w:rPr/>
        <w:t>zmienione/Wydanie</w:t>
      </w:r>
      <w:r>
        <w:rPr>
          <w:spacing w:val="-11"/>
        </w:rPr>
        <w:t> </w:t>
      </w:r>
      <w:r>
        <w:rPr/>
        <w:t>poprawione/x.</w:t>
      </w:r>
      <w:r>
        <w:rPr>
          <w:spacing w:val="-11"/>
        </w:rPr>
        <w:t> </w:t>
      </w:r>
      <w:r>
        <w:rPr>
          <w:spacing w:val="-2"/>
        </w:rPr>
        <w:t>wydanie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507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Europejskiej. Luksemburg: Urząd Publikacji Unii Europejskiej, [rok]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Unia</w:t>
      </w:r>
      <w:r>
        <w:rPr>
          <w:spacing w:val="-5"/>
        </w:rPr>
        <w:t> </w:t>
      </w:r>
      <w:r>
        <w:rPr/>
        <w:t>Europejska,</w:t>
      </w:r>
      <w:r>
        <w:rPr>
          <w:spacing w:val="-5"/>
        </w:rPr>
        <w:t> </w:t>
      </w:r>
      <w:r>
        <w:rPr>
          <w:spacing w:val="-2"/>
        </w:rPr>
        <w:t>[rok]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507"/>
      </w:pPr>
      <w:r>
        <w:rPr/>
        <w:t>Polityka</w:t>
      </w:r>
      <w:r>
        <w:rPr>
          <w:spacing w:val="-4"/>
        </w:rPr>
        <w:t> </w:t>
      </w:r>
      <w:r>
        <w:rPr/>
        <w:t>Komisji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zakresie</w:t>
      </w:r>
      <w:r>
        <w:rPr>
          <w:spacing w:val="-4"/>
        </w:rPr>
        <w:t> </w:t>
      </w:r>
      <w:r>
        <w:rPr/>
        <w:t>ponownego</w:t>
      </w:r>
      <w:r>
        <w:rPr>
          <w:spacing w:val="-4"/>
        </w:rPr>
        <w:t> </w:t>
      </w:r>
      <w:r>
        <w:rPr/>
        <w:t>wykorzystywania</w:t>
      </w:r>
      <w:r>
        <w:rPr>
          <w:spacing w:val="-4"/>
        </w:rPr>
        <w:t> </w:t>
      </w:r>
      <w:r>
        <w:rPr/>
        <w:t>jest</w:t>
      </w:r>
      <w:r>
        <w:rPr>
          <w:spacing w:val="-4"/>
        </w:rPr>
        <w:t> </w:t>
      </w:r>
      <w:r>
        <w:rPr/>
        <w:t>realizowana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decyzj</w:t>
      </w:r>
      <w:r>
        <w:rPr>
          <w:spacing w:val="-4"/>
        </w:rPr>
        <w:t> </w:t>
      </w:r>
      <w:r>
        <w:rPr/>
        <w:t>Komisji 2011/833/UE z dnia 12 grudnia 2011 r. w sprawie ponownego wykorzystywania dokumentów Komisji (Dz.U. L 330 z 14.12.2011, s.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O</w:t>
      </w:r>
      <w:r>
        <w:rPr>
          <w:spacing w:val="-4"/>
        </w:rPr>
        <w:t> </w:t>
      </w:r>
      <w:r>
        <w:rPr/>
        <w:t>ile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wskazano</w:t>
      </w:r>
      <w:r>
        <w:rPr>
          <w:spacing w:val="-4"/>
        </w:rPr>
        <w:t> </w:t>
      </w:r>
      <w:r>
        <w:rPr/>
        <w:t>inaczej,</w:t>
      </w:r>
      <w:r>
        <w:rPr>
          <w:spacing w:val="-4"/>
        </w:rPr>
        <w:t> </w:t>
      </w:r>
      <w:r>
        <w:rPr/>
        <w:t>ponowne</w:t>
      </w:r>
      <w:r>
        <w:rPr>
          <w:spacing w:val="-4"/>
        </w:rPr>
        <w:t> </w:t>
      </w:r>
      <w:r>
        <w:rPr/>
        <w:t>wykorzystywanie</w:t>
      </w:r>
      <w:r>
        <w:rPr>
          <w:spacing w:val="-4"/>
        </w:rPr>
        <w:t> </w:t>
      </w:r>
      <w:r>
        <w:rPr/>
        <w:t>niniejszego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jest</w:t>
      </w:r>
      <w:r>
        <w:rPr>
          <w:spacing w:val="-4"/>
        </w:rPr>
        <w:t> </w:t>
      </w:r>
      <w:r>
        <w:rPr/>
        <w:t>dozwolone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podstawie licencji 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by/4.0/</w:t>
        </w:r>
      </w:hyperlink>
      <w:r>
        <w:rPr>
          <w:u w:val="none"/>
        </w:rPr>
        <w:t>). Oznacza to, że ponowne wykorzystywanie jest dozwolone pod warunkiem odpowiedniego poinformowania o autorze oraz o wszelkich zmianach wprowadzonych w dokumencie.</w:t>
      </w:r>
    </w:p>
    <w:p>
      <w:pPr>
        <w:pStyle w:val="BodyText"/>
        <w:spacing w:before="92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66"/>
        <w:jc w:val="both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 może</w:t>
      </w:r>
      <w:r>
        <w:rPr>
          <w:spacing w:val="-3"/>
        </w:rPr>
        <w:t> </w:t>
      </w:r>
      <w:r>
        <w:rPr/>
        <w:t>być</w:t>
      </w:r>
      <w:r>
        <w:rPr>
          <w:spacing w:val="-3"/>
        </w:rPr>
        <w:t> </w:t>
      </w:r>
      <w:r>
        <w:rPr/>
        <w:t>uzyskanie</w:t>
      </w:r>
      <w:r>
        <w:rPr>
          <w:spacing w:val="-3"/>
        </w:rPr>
        <w:t> </w:t>
      </w:r>
      <w:r>
        <w:rPr/>
        <w:t>zgody</w:t>
      </w:r>
      <w:r>
        <w:rPr>
          <w:spacing w:val="-3"/>
        </w:rPr>
        <w:t> </w:t>
      </w:r>
      <w:r>
        <w:rPr/>
        <w:t>bezpośrednio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właściwych</w:t>
      </w:r>
      <w:r>
        <w:rPr>
          <w:spacing w:val="-3"/>
        </w:rPr>
        <w:t> </w:t>
      </w:r>
      <w:r>
        <w:rPr/>
        <w:t>podmiotów</w:t>
      </w:r>
      <w:r>
        <w:rPr>
          <w:spacing w:val="-3"/>
        </w:rPr>
        <w:t> </w:t>
      </w:r>
      <w:r>
        <w:rPr/>
        <w:t>prawa</w:t>
      </w:r>
      <w:r>
        <w:rPr>
          <w:spacing w:val="-3"/>
        </w:rPr>
        <w:t> </w:t>
      </w:r>
      <w:r>
        <w:rPr/>
        <w:t>autorskiego.</w:t>
      </w:r>
      <w:r>
        <w:rPr>
          <w:spacing w:val="-1"/>
        </w:rPr>
        <w:t> </w:t>
      </w:r>
      <w:r>
        <w:rPr/>
        <w:t>Unia</w:t>
      </w:r>
      <w:r>
        <w:rPr>
          <w:spacing w:val="-3"/>
        </w:rPr>
        <w:t> </w:t>
      </w:r>
      <w:r>
        <w:rPr/>
        <w:t>Europejska</w:t>
      </w:r>
      <w:r>
        <w:rPr>
          <w:spacing w:val="-3"/>
        </w:rPr>
        <w:t> </w:t>
      </w:r>
      <w:r>
        <w:rPr/>
        <w:t>nie posiada 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629" w:hanging="380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[element,</w:t>
      </w:r>
      <w:r>
        <w:rPr>
          <w:spacing w:val="-5"/>
          <w:sz w:val="20"/>
        </w:rPr>
        <w:t> </w:t>
      </w:r>
      <w:r>
        <w:rPr>
          <w:sz w:val="20"/>
        </w:rPr>
        <w:t>którego</w:t>
      </w:r>
      <w:r>
        <w:rPr>
          <w:spacing w:val="-5"/>
          <w:sz w:val="20"/>
        </w:rPr>
        <w:t> </w:t>
      </w:r>
      <w:r>
        <w:rPr>
          <w:sz w:val="20"/>
        </w:rPr>
        <w:t>dotyczy</w:t>
      </w:r>
      <w:r>
        <w:rPr>
          <w:spacing w:val="-5"/>
          <w:sz w:val="20"/>
        </w:rPr>
        <w:t> </w:t>
      </w:r>
      <w:r>
        <w:rPr>
          <w:sz w:val="20"/>
        </w:rPr>
        <w:t>informacja],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4"/>
          <w:sz w:val="20"/>
        </w:rPr>
        <w:t> </w:t>
      </w:r>
      <w:r>
        <w:rPr>
          <w:sz w:val="20"/>
        </w:rPr>
        <w:t>np.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wszelkie</w:t>
      </w:r>
      <w:r>
        <w:rPr>
          <w:spacing w:val="-5"/>
          <w:sz w:val="20"/>
        </w:rPr>
        <w:t> </w:t>
      </w:r>
      <w:r>
        <w:rPr>
          <w:sz w:val="20"/>
        </w:rPr>
        <w:t>prawa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650" w:hanging="380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 licencji CC BY 2.0 [+ link do licencji],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both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98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366"/>
        <w:jc w:val="both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 może być uzyskanie zgody bezpośrednio od właściwych podmiotów prawa autorskiego.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Unia</w:t>
      </w:r>
      <w:r>
        <w:rPr>
          <w:rFonts w:ascii="Gill Sans MT" w:hAnsi="Gill Sans MT"/>
          <w:spacing w:val="2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Europejska,</w:t>
      </w:r>
      <w:r>
        <w:rPr>
          <w:rFonts w:ascii="Gill Sans MT" w:hAnsi="Gill Sans MT"/>
          <w:spacing w:val="2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>
      <w:pPr>
        <w:spacing w:line="268" w:lineRule="auto" w:before="26"/>
        <w:ind w:left="460" w:right="507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Ponowne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wykorzystanie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dozwolone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pod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warunkiem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podania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źródła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oraz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niezmieniania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oryginalnego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znaczenia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lub przekazu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niniejszego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dokumentu.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Komisja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Europejska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ponosi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odpowiedzialności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jakiekolwiek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konsekwencje wynikające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ponownego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wykorzystania.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Komisja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Europejska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wdrożyła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politykę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ponownego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wykorzystywania swoich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dokumentów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podstawie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decyzji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Komisji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dnia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grudnia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r.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w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sprawie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ponownego</w:t>
      </w:r>
    </w:p>
    <w:p>
      <w:pPr>
        <w:spacing w:before="1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z w:val="18"/>
        </w:rPr>
        <w:t>wykorzystywania</w:t>
      </w:r>
      <w:r>
        <w:rPr>
          <w:rFonts w:ascii="Gill Sans MT" w:hAnsi="Gill Sans MT"/>
          <w:spacing w:val="59"/>
          <w:sz w:val="18"/>
        </w:rPr>
        <w:t> </w:t>
      </w:r>
      <w:r>
        <w:rPr>
          <w:rFonts w:ascii="Gill Sans MT" w:hAnsi="Gill Sans MT"/>
          <w:sz w:val="18"/>
        </w:rPr>
        <w:t>dokumentów</w:t>
      </w:r>
      <w:r>
        <w:rPr>
          <w:rFonts w:ascii="Gill Sans MT" w:hAnsi="Gill Sans MT"/>
          <w:spacing w:val="60"/>
          <w:sz w:val="18"/>
        </w:rPr>
        <w:t> </w:t>
      </w:r>
      <w:r>
        <w:rPr>
          <w:rFonts w:ascii="Gill Sans MT" w:hAnsi="Gill Sans MT"/>
          <w:sz w:val="18"/>
        </w:rPr>
        <w:t>Komisji</w:t>
      </w:r>
      <w:r>
        <w:rPr>
          <w:rFonts w:ascii="Gill Sans MT" w:hAnsi="Gill Sans MT"/>
          <w:spacing w:val="59"/>
          <w:sz w:val="18"/>
        </w:rPr>
        <w:t> </w:t>
      </w:r>
      <w:r>
        <w:rPr>
          <w:rFonts w:ascii="Gill Sans MT" w:hAnsi="Gill Sans MT"/>
          <w:sz w:val="18"/>
        </w:rPr>
        <w:t>(Dz.U.</w:t>
      </w:r>
      <w:r>
        <w:rPr>
          <w:rFonts w:ascii="Gill Sans MT" w:hAnsi="Gill Sans MT"/>
          <w:spacing w:val="60"/>
          <w:sz w:val="18"/>
        </w:rPr>
        <w:t> </w:t>
      </w:r>
      <w:r>
        <w:rPr>
          <w:rFonts w:ascii="Gill Sans MT" w:hAnsi="Gill Sans MT"/>
          <w:sz w:val="18"/>
        </w:rPr>
        <w:t>L</w:t>
      </w:r>
      <w:r>
        <w:rPr>
          <w:rFonts w:ascii="Gill Sans MT" w:hAnsi="Gill Sans MT"/>
          <w:spacing w:val="59"/>
          <w:sz w:val="18"/>
        </w:rPr>
        <w:t> </w:t>
      </w:r>
      <w:r>
        <w:rPr>
          <w:rFonts w:ascii="Gill Sans MT" w:hAnsi="Gill Sans MT"/>
          <w:sz w:val="18"/>
        </w:rPr>
        <w:t>330</w:t>
      </w:r>
      <w:r>
        <w:rPr>
          <w:rFonts w:ascii="Gill Sans MT" w:hAnsi="Gill Sans MT"/>
          <w:spacing w:val="60"/>
          <w:sz w:val="18"/>
        </w:rPr>
        <w:t> </w:t>
      </w:r>
      <w:r>
        <w:rPr>
          <w:rFonts w:ascii="Gill Sans MT" w:hAnsi="Gill Sans MT"/>
          <w:sz w:val="18"/>
        </w:rPr>
        <w:t>z</w:t>
      </w:r>
      <w:r>
        <w:rPr>
          <w:rFonts w:ascii="Gill Sans MT" w:hAnsi="Gill Sans MT"/>
          <w:spacing w:val="59"/>
          <w:sz w:val="18"/>
        </w:rPr>
        <w:t> </w:t>
      </w:r>
      <w:r>
        <w:rPr>
          <w:rFonts w:ascii="Gill Sans MT" w:hAnsi="Gill Sans MT"/>
          <w:sz w:val="18"/>
        </w:rPr>
        <w:t>14.12.2011,</w:t>
      </w:r>
      <w:r>
        <w:rPr>
          <w:rFonts w:ascii="Gill Sans MT" w:hAnsi="Gill Sans MT"/>
          <w:spacing w:val="60"/>
          <w:sz w:val="18"/>
        </w:rPr>
        <w:t> </w:t>
      </w:r>
      <w:r>
        <w:rPr>
          <w:rFonts w:ascii="Gill Sans MT" w:hAnsi="Gill Sans MT"/>
          <w:sz w:val="18"/>
        </w:rPr>
        <w:t>s.</w:t>
      </w:r>
      <w:r>
        <w:rPr>
          <w:rFonts w:ascii="Gill Sans MT" w:hAnsi="Gill Sans MT"/>
          <w:spacing w:val="59"/>
          <w:sz w:val="18"/>
        </w:rPr>
        <w:t> </w:t>
      </w:r>
      <w:r>
        <w:rPr>
          <w:rFonts w:ascii="Gill Sans MT" w:hAnsi="Gill Sans MT"/>
          <w:sz w:val="18"/>
        </w:rPr>
        <w:t>39,</w:t>
      </w:r>
      <w:r>
        <w:rPr>
          <w:rFonts w:ascii="Gill Sans MT" w:hAnsi="Gill Sans MT"/>
          <w:spacing w:val="60"/>
          <w:sz w:val="18"/>
        </w:rPr>
        <w:t> </w:t>
      </w:r>
      <w:r>
        <w:rPr>
          <w:rFonts w:ascii="Gill Sans MT" w:hAnsi="Gill Sans MT"/>
          <w:sz w:val="18"/>
        </w:rPr>
        <w:t>ELI:</w:t>
      </w:r>
      <w:r>
        <w:rPr>
          <w:rFonts w:ascii="Gill Sans MT" w:hAnsi="Gill Sans MT"/>
          <w:spacing w:val="60"/>
          <w:sz w:val="18"/>
        </w:rPr>
        <w:t> </w:t>
      </w:r>
      <w:hyperlink r:id="rId6">
        <w:r>
          <w:rPr>
            <w:rFonts w:ascii="Gill Sans MT" w:hAnsi="Gill Sans MT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sz w:val="18"/>
          <w:u w:val="none"/>
        </w:rPr>
        <w:t>).</w:t>
      </w:r>
    </w:p>
    <w:p>
      <w:pPr>
        <w:spacing w:after="0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7"/>
        <w:ind w:left="443" w:right="507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 można znaleźć na stronie: 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6"/>
        <w:ind w:left="443" w:right="118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851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5"/>
          <w:sz w:val="22"/>
        </w:rPr>
        <w:t> </w:t>
      </w:r>
      <w:r>
        <w:rPr>
          <w:sz w:val="22"/>
        </w:rPr>
        <w:t>pod</w:t>
      </w:r>
      <w:r>
        <w:rPr>
          <w:spacing w:val="-5"/>
          <w:sz w:val="22"/>
        </w:rPr>
        <w:t> </w:t>
      </w:r>
      <w:r>
        <w:rPr>
          <w:sz w:val="22"/>
        </w:rPr>
        <w:t>bezpłatny</w:t>
      </w:r>
      <w:r>
        <w:rPr>
          <w:spacing w:val="-5"/>
          <w:sz w:val="22"/>
        </w:rPr>
        <w:t> </w:t>
      </w:r>
      <w:r>
        <w:rPr>
          <w:sz w:val="22"/>
        </w:rPr>
        <w:t>numer</w:t>
      </w:r>
      <w:r>
        <w:rPr>
          <w:spacing w:val="-5"/>
          <w:sz w:val="22"/>
        </w:rPr>
        <w:t> </w:t>
      </w:r>
      <w:r>
        <w:rPr>
          <w:sz w:val="22"/>
        </w:rPr>
        <w:t>telefonu: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(niektórzy</w:t>
      </w:r>
      <w:r>
        <w:rPr>
          <w:spacing w:val="-5"/>
          <w:sz w:val="22"/>
        </w:rPr>
        <w:t> </w:t>
      </w:r>
      <w:r>
        <w:rPr>
          <w:sz w:val="22"/>
        </w:rPr>
        <w:t>operatorzy 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431" w:firstLine="0"/>
        <w:jc w:val="left"/>
        <w:rPr>
          <w:sz w:val="22"/>
        </w:rPr>
      </w:pPr>
      <w:r>
        <w:rPr>
          <w:sz w:val="22"/>
        </w:rPr>
        <w:t>Publikacje UE można obejrzeć lub zamówić na stronie: </w:t>
      </w:r>
      <w:hyperlink r:id="rId13">
        <w:r>
          <w:rPr>
            <w:color w:val="337AB7"/>
            <w:sz w:val="22"/>
            <w:u w:val="single" w:color="337AB7"/>
          </w:rPr>
          <w:t>op.europa.eu/pl/publications</w:t>
        </w:r>
      </w:hyperlink>
      <w:r>
        <w:rPr>
          <w:sz w:val="22"/>
          <w:u w:val="none"/>
        </w:rPr>
        <w:t>. Większą liczbę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egzemplarzy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bezpłatnych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publikacji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można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otrzymać,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kontaktując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się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serwisem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 Direct lub z lokalnym centrum dokumentacji europejskiej (</w:t>
      </w:r>
      <w:hyperlink r:id="rId10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eu/meet-us_pl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6"/>
        <w:ind w:left="443" w:right="507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8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7"/>
          <w:sz w:val="22"/>
          <w:u w:val="none"/>
        </w:rPr>
        <w:t> </w:t>
      </w:r>
      <w:r>
        <w:rPr>
          <w:sz w:val="22"/>
          <w:u w:val="none"/>
        </w:rPr>
        <w:t>zapewnia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otwartych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7"/>
          <w:sz w:val="22"/>
          <w:u w:val="none"/>
        </w:rPr>
        <w:t> </w:t>
      </w:r>
      <w:r>
        <w:rPr>
          <w:spacing w:val="-2"/>
          <w:sz w:val="22"/>
          <w:u w:val="none"/>
        </w:rPr>
        <w:t>pochodzących</w:t>
      </w:r>
    </w:p>
    <w:p>
      <w:pPr>
        <w:spacing w:line="290" w:lineRule="auto" w:before="53"/>
        <w:ind w:left="443" w:right="507" w:firstLine="0"/>
        <w:jc w:val="left"/>
        <w:rPr>
          <w:sz w:val="22"/>
        </w:rPr>
      </w:pPr>
      <w:r>
        <w:rPr>
          <w:sz w:val="22"/>
        </w:rPr>
        <w:t>z instytucji, organów i agencji UE. Dane te można pobierać i wykorzystywać bezpłatnie, zarówno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celów</w:t>
      </w:r>
      <w:r>
        <w:rPr>
          <w:spacing w:val="-5"/>
          <w:sz w:val="22"/>
        </w:rPr>
        <w:t> </w:t>
      </w:r>
      <w:r>
        <w:rPr>
          <w:sz w:val="22"/>
        </w:rPr>
        <w:t>komercyjnych,</w:t>
      </w:r>
      <w:r>
        <w:rPr>
          <w:spacing w:val="-5"/>
          <w:sz w:val="22"/>
        </w:rPr>
        <w:t> </w:t>
      </w:r>
      <w:r>
        <w:rPr>
          <w:sz w:val="22"/>
        </w:rPr>
        <w:t>jak</w:t>
      </w:r>
      <w:r>
        <w:rPr>
          <w:spacing w:val="-5"/>
          <w:sz w:val="22"/>
        </w:rPr>
        <w:t> </w:t>
      </w:r>
      <w:r>
        <w:rPr>
          <w:sz w:val="22"/>
        </w:rPr>
        <w:t>i</w:t>
      </w:r>
      <w:r>
        <w:rPr>
          <w:spacing w:val="-5"/>
          <w:sz w:val="22"/>
        </w:rPr>
        <w:t> </w:t>
      </w:r>
      <w:r>
        <w:rPr>
          <w:sz w:val="22"/>
        </w:rPr>
        <w:t>niekomercyjnych.</w:t>
      </w:r>
      <w:r>
        <w:rPr>
          <w:spacing w:val="-5"/>
          <w:sz w:val="22"/>
        </w:rPr>
        <w:t> </w:t>
      </w:r>
      <w:r>
        <w:rPr>
          <w:sz w:val="22"/>
        </w:rPr>
        <w:t>Portal</w:t>
      </w:r>
      <w:r>
        <w:rPr>
          <w:spacing w:val="-5"/>
          <w:sz w:val="22"/>
        </w:rPr>
        <w:t> </w:t>
      </w:r>
      <w:r>
        <w:rPr>
          <w:sz w:val="22"/>
        </w:rPr>
        <w:t>umożliwia</w:t>
      </w:r>
      <w:r>
        <w:rPr>
          <w:spacing w:val="-5"/>
          <w:sz w:val="22"/>
        </w:rPr>
        <w:t> </w:t>
      </w:r>
      <w:r>
        <w:rPr>
          <w:sz w:val="22"/>
        </w:rPr>
        <w:t>również</w:t>
      </w:r>
      <w:r>
        <w:rPr>
          <w:spacing w:val="-5"/>
          <w:sz w:val="22"/>
        </w:rPr>
        <w:t> </w:t>
      </w:r>
      <w:r>
        <w:rPr>
          <w:sz w:val="22"/>
        </w:rPr>
        <w:t>dostęp</w:t>
      </w:r>
      <w:r>
        <w:rPr>
          <w:spacing w:val="-5"/>
          <w:sz w:val="22"/>
        </w:rPr>
        <w:t> </w:t>
      </w:r>
      <w:r>
        <w:rPr>
          <w:sz w:val="22"/>
        </w:rPr>
        <w:t>do wielu zbiorów danych z krajów europejskich.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l" TargetMode="External"/><Relationship Id="rId11" Type="http://schemas.openxmlformats.org/officeDocument/2006/relationships/hyperlink" Target="https://european-union.europa.eu/contact-eu/write-us_pl" TargetMode="External"/><Relationship Id="rId12" Type="http://schemas.openxmlformats.org/officeDocument/2006/relationships/hyperlink" Target="https://european-union.europa.eu/index_pl" TargetMode="External"/><Relationship Id="rId13" Type="http://schemas.openxmlformats.org/officeDocument/2006/relationships/hyperlink" Target="https://op.europa.eu/p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PL</dc:title>
  <dcterms:created xsi:type="dcterms:W3CDTF">2025-01-15T13:34:56Z</dcterms:created>
  <dcterms:modified xsi:type="dcterms:W3CDTF">2025-01-15T13:34:56Z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