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DE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DE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right="3519"/>
      </w:pPr>
      <w:r>
        <w:rPr/>
        <w:t>Überarbeitete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Berichtigte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[Erste/Zweite/</w:t>
      </w:r>
      <w:r>
        <w:rPr>
          <w:i/>
        </w:rPr>
        <w:t>n.</w:t>
      </w:r>
      <w:r>
        <w:rPr/>
        <w:t>]</w:t>
      </w:r>
      <w:r>
        <w:rPr>
          <w:spacing w:val="-6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625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9"/>
        </w:rPr>
        <w:t> </w:t>
      </w:r>
      <w:r>
        <w:rPr/>
        <w:t>[Exekutivagentur],</w:t>
      </w:r>
      <w:r>
        <w:rPr>
          <w:spacing w:val="-8"/>
        </w:rPr>
        <w:t> </w:t>
      </w:r>
      <w:r>
        <w:rPr>
          <w:spacing w:val="-2"/>
        </w:rPr>
        <w:t>[Jahr]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680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0800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[Eκτελεστικός</w:t>
      </w:r>
      <w:r>
        <w:rPr>
          <w:spacing w:val="-5"/>
        </w:rPr>
        <w:t> </w:t>
      </w:r>
      <w:r>
        <w:rPr/>
        <w:t>οργανισμός],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</w:t>
      </w:r>
      <w:r>
        <w:rPr>
          <w:spacing w:val="-5"/>
        </w:rPr>
        <w:t> </w:t>
      </w:r>
      <w:r>
        <w:rPr/>
        <w:t>ΤΝ].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31"/>
      </w:pPr>
      <w:r>
        <w:rPr/>
        <w:t>Die</w:t>
      </w:r>
      <w:r>
        <w:rPr>
          <w:spacing w:val="-6"/>
        </w:rPr>
        <w:t> </w:t>
      </w:r>
      <w:r>
        <w:rPr/>
        <w:t>Exekutivagenturen</w:t>
      </w:r>
      <w:r>
        <w:rPr>
          <w:spacing w:val="-6"/>
        </w:rPr>
        <w:t> </w:t>
      </w:r>
      <w:r>
        <w:rPr/>
        <w:t>wenden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Weiterverwendungspolitik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an,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dem</w:t>
      </w:r>
      <w:r>
        <w:rPr>
          <w:spacing w:val="-6"/>
        </w:rPr>
        <w:t> </w:t>
      </w:r>
      <w:r>
        <w:rPr/>
        <w:t>Beschluss</w:t>
      </w:r>
      <w:r>
        <w:rPr>
          <w:spacing w:val="-6"/>
        </w:rPr>
        <w:t> </w:t>
      </w:r>
      <w:r>
        <w:rPr/>
        <w:t>2011/833/EU vom 12. Dezember 2011 über die Weiterverwendung von Kommissionsdokumenten (ABl. L 330 vom 14.12.2011,</w:t>
      </w:r>
      <w:r>
        <w:rPr/>
        <w:t>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Sofern</w:t>
      </w:r>
      <w:r>
        <w:rPr>
          <w:spacing w:val="-3"/>
        </w:rPr>
        <w:t> </w:t>
      </w:r>
      <w:r>
        <w:rPr/>
        <w:t>nichts</w:t>
      </w:r>
      <w:r>
        <w:rPr>
          <w:spacing w:val="-3"/>
        </w:rPr>
        <w:t> </w:t>
      </w:r>
      <w:r>
        <w:rPr/>
        <w:t>anderes</w:t>
      </w:r>
      <w:r>
        <w:rPr>
          <w:spacing w:val="-3"/>
        </w:rPr>
        <w:t> </w:t>
      </w:r>
      <w:r>
        <w:rPr/>
        <w:t>angegeben</w:t>
      </w:r>
      <w:r>
        <w:rPr>
          <w:spacing w:val="-3"/>
        </w:rPr>
        <w:t> </w:t>
      </w:r>
      <w:r>
        <w:rPr/>
        <w:t>ist,</w:t>
      </w:r>
      <w:r>
        <w:rPr>
          <w:spacing w:val="-3"/>
        </w:rPr>
        <w:t> </w:t>
      </w:r>
      <w:r>
        <w:rPr/>
        <w:t>wird</w:t>
      </w:r>
      <w:r>
        <w:rPr>
          <w:spacing w:val="-3"/>
        </w:rPr>
        <w:t> </w:t>
      </w:r>
      <w:r>
        <w:rPr/>
        <w:t>dieses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Bedingungen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Lizenz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 zur Verfügung gestellt. Dies bedeutet,</w:t>
      </w:r>
    </w:p>
    <w:p>
      <w:pPr>
        <w:pStyle w:val="BodyText"/>
        <w:spacing w:line="244" w:lineRule="auto"/>
      </w:pPr>
      <w:r>
        <w:rPr/>
        <w:t>dass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Weiterverwendung</w:t>
      </w:r>
      <w:r>
        <w:rPr>
          <w:spacing w:val="-4"/>
        </w:rPr>
        <w:t> </w:t>
      </w:r>
      <w:r>
        <w:rPr/>
        <w:t>zulässig</w:t>
      </w:r>
      <w:r>
        <w:rPr>
          <w:spacing w:val="-4"/>
        </w:rPr>
        <w:t> </w:t>
      </w:r>
      <w:r>
        <w:rPr/>
        <w:t>ist,</w:t>
      </w:r>
      <w:r>
        <w:rPr>
          <w:spacing w:val="-4"/>
        </w:rPr>
        <w:t> </w:t>
      </w:r>
      <w:r>
        <w:rPr/>
        <w:t>sofern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Quelle</w:t>
      </w:r>
      <w:r>
        <w:rPr>
          <w:spacing w:val="-4"/>
        </w:rPr>
        <w:t> </w:t>
      </w:r>
      <w:r>
        <w:rPr/>
        <w:t>ordnungsgemäß</w:t>
      </w:r>
      <w:r>
        <w:rPr>
          <w:spacing w:val="-4"/>
        </w:rPr>
        <w:t> </w:t>
      </w:r>
      <w:r>
        <w:rPr/>
        <w:t>genannt</w:t>
      </w:r>
      <w:r>
        <w:rPr>
          <w:spacing w:val="-4"/>
        </w:rPr>
        <w:t> </w:t>
      </w:r>
      <w:r>
        <w:rPr/>
        <w:t>wird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etwaige</w:t>
      </w:r>
      <w:r>
        <w:rPr>
          <w:spacing w:val="-4"/>
        </w:rPr>
        <w:t> </w:t>
      </w:r>
      <w:r>
        <w:rPr/>
        <w:t>Änderungen angegeben werden.</w:t>
      </w:r>
    </w:p>
    <w:p>
      <w:pPr>
        <w:pStyle w:val="BodyText"/>
        <w:spacing w:before="73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werden. Die Europäische Union oder die [Exekutivagentur]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82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</w:t>
      </w:r>
      <w:r>
        <w:rPr>
          <w:spacing w:val="-2"/>
        </w:rPr>
        <w:t>werden.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31" w:firstLine="0"/>
        <w:jc w:val="left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Weiterverwendung</w:t>
      </w:r>
      <w:r>
        <w:rPr>
          <w:spacing w:val="-4"/>
          <w:sz w:val="18"/>
        </w:rPr>
        <w:t> </w:t>
      </w:r>
      <w:r>
        <w:rPr>
          <w:sz w:val="18"/>
        </w:rPr>
        <w:t>ist</w:t>
      </w:r>
      <w:r>
        <w:rPr>
          <w:spacing w:val="-4"/>
          <w:sz w:val="18"/>
        </w:rPr>
        <w:t> </w:t>
      </w:r>
      <w:r>
        <w:rPr>
          <w:sz w:val="18"/>
        </w:rPr>
        <w:t>gestattet,</w:t>
      </w:r>
      <w:r>
        <w:rPr>
          <w:spacing w:val="-4"/>
          <w:sz w:val="18"/>
        </w:rPr>
        <w:t> </w:t>
      </w:r>
      <w:r>
        <w:rPr>
          <w:sz w:val="18"/>
        </w:rPr>
        <w:t>sofern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Quelle</w:t>
      </w:r>
      <w:r>
        <w:rPr>
          <w:spacing w:val="-4"/>
          <w:sz w:val="18"/>
        </w:rPr>
        <w:t> </w:t>
      </w:r>
      <w:r>
        <w:rPr>
          <w:sz w:val="18"/>
        </w:rPr>
        <w:t>angegeben</w:t>
      </w:r>
      <w:r>
        <w:rPr>
          <w:spacing w:val="-4"/>
          <w:sz w:val="18"/>
        </w:rPr>
        <w:t> </w:t>
      </w:r>
      <w:r>
        <w:rPr>
          <w:sz w:val="18"/>
        </w:rPr>
        <w:t>wird</w:t>
      </w:r>
      <w:r>
        <w:rPr>
          <w:spacing w:val="-4"/>
          <w:sz w:val="18"/>
        </w:rPr>
        <w:t> </w:t>
      </w:r>
      <w:r>
        <w:rPr>
          <w:sz w:val="18"/>
        </w:rPr>
        <w:t>und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ursprüngliche</w:t>
      </w:r>
      <w:r>
        <w:rPr>
          <w:spacing w:val="-4"/>
          <w:sz w:val="18"/>
        </w:rPr>
        <w:t> </w:t>
      </w:r>
      <w:r>
        <w:rPr>
          <w:sz w:val="18"/>
        </w:rPr>
        <w:t>Bedeutung</w:t>
      </w:r>
      <w:r>
        <w:rPr>
          <w:spacing w:val="-4"/>
          <w:sz w:val="18"/>
        </w:rPr>
        <w:t> </w:t>
      </w:r>
      <w:r>
        <w:rPr>
          <w:sz w:val="18"/>
        </w:rPr>
        <w:t>oder</w:t>
      </w:r>
      <w:r>
        <w:rPr>
          <w:spacing w:val="-4"/>
          <w:sz w:val="18"/>
        </w:rPr>
        <w:t> </w:t>
      </w:r>
      <w:r>
        <w:rPr>
          <w:sz w:val="18"/>
        </w:rPr>
        <w:t>Botschaft des Dokuments nicht verzerrt dargestellt wird. Die Europäische Kommission haftet nicht für Folgen, die sich aus</w:t>
      </w:r>
    </w:p>
    <w:p>
      <w:pPr>
        <w:spacing w:line="271" w:lineRule="auto" w:before="1"/>
        <w:ind w:left="813" w:right="138" w:firstLine="0"/>
        <w:jc w:val="left"/>
        <w:rPr>
          <w:sz w:val="18"/>
        </w:rPr>
      </w:pPr>
      <w:r>
        <w:rPr>
          <w:sz w:val="18"/>
        </w:rPr>
        <w:t>der Weiterverwendung dieser Veröffentlichung ergeben. Die Weiterverwendung von Dokumenten der Europäischen Kommission</w:t>
      </w:r>
      <w:r>
        <w:rPr>
          <w:spacing w:val="-6"/>
          <w:sz w:val="18"/>
        </w:rPr>
        <w:t> </w:t>
      </w:r>
      <w:r>
        <w:rPr>
          <w:sz w:val="18"/>
        </w:rPr>
        <w:t>ist</w:t>
      </w:r>
      <w:r>
        <w:rPr>
          <w:spacing w:val="-6"/>
          <w:sz w:val="18"/>
        </w:rPr>
        <w:t> </w:t>
      </w:r>
      <w:r>
        <w:rPr>
          <w:sz w:val="18"/>
        </w:rPr>
        <w:t>durch</w:t>
      </w:r>
      <w:r>
        <w:rPr>
          <w:spacing w:val="-6"/>
          <w:sz w:val="18"/>
        </w:rPr>
        <w:t> </w:t>
      </w:r>
      <w:r>
        <w:rPr>
          <w:sz w:val="18"/>
        </w:rPr>
        <w:t>den</w:t>
      </w:r>
      <w:r>
        <w:rPr>
          <w:spacing w:val="-6"/>
          <w:sz w:val="18"/>
        </w:rPr>
        <w:t> </w:t>
      </w:r>
      <w:r>
        <w:rPr>
          <w:sz w:val="18"/>
        </w:rPr>
        <w:t>Beschluss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der</w:t>
      </w:r>
      <w:r>
        <w:rPr>
          <w:spacing w:val="-6"/>
          <w:sz w:val="18"/>
        </w:rPr>
        <w:t> </w:t>
      </w:r>
      <w:r>
        <w:rPr>
          <w:sz w:val="18"/>
        </w:rPr>
        <w:t>Kommission</w:t>
      </w:r>
      <w:r>
        <w:rPr>
          <w:spacing w:val="-6"/>
          <w:sz w:val="18"/>
        </w:rPr>
        <w:t> </w:t>
      </w:r>
      <w:r>
        <w:rPr>
          <w:sz w:val="18"/>
        </w:rPr>
        <w:t>vom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Dezember</w:t>
      </w:r>
      <w:r>
        <w:rPr>
          <w:spacing w:val="-6"/>
          <w:sz w:val="18"/>
        </w:rPr>
        <w:t> </w:t>
      </w:r>
      <w:r>
        <w:rPr>
          <w:sz w:val="18"/>
        </w:rPr>
        <w:t>2011</w:t>
      </w:r>
      <w:r>
        <w:rPr>
          <w:spacing w:val="-6"/>
          <w:sz w:val="18"/>
        </w:rPr>
        <w:t> </w:t>
      </w:r>
      <w:r>
        <w:rPr>
          <w:sz w:val="18"/>
        </w:rPr>
        <w:t>über</w:t>
      </w:r>
      <w:r>
        <w:rPr>
          <w:spacing w:val="-6"/>
          <w:sz w:val="18"/>
        </w:rPr>
        <w:t> </w:t>
      </w:r>
      <w:r>
        <w:rPr>
          <w:sz w:val="18"/>
        </w:rPr>
        <w:t>die</w:t>
      </w:r>
      <w:r>
        <w:rPr>
          <w:spacing w:val="-6"/>
          <w:sz w:val="18"/>
        </w:rPr>
        <w:t> </w:t>
      </w:r>
      <w:r>
        <w:rPr>
          <w:sz w:val="18"/>
        </w:rPr>
        <w:t>Weiterverwendung von Kommissionsdokumenten (ABl. L 330 vom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</w:t>
      </w:r>
      <w:r>
        <w:rPr>
          <w:sz w:val="18"/>
          <w:u w:val="none"/>
        </w:rPr>
        <w:t> </w:t>
      </w:r>
      <w:r>
        <w:rPr>
          <w:spacing w:val="-2"/>
          <w:sz w:val="18"/>
          <w:u w:val="none"/>
        </w:rPr>
        <w:t>geregelt.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437" w:right="625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437" w:right="625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126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437" w:right="4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3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DE</dc:title>
  <dcterms:created xsi:type="dcterms:W3CDTF">2025-04-28T11:38:32Z</dcterms:created>
  <dcterms:modified xsi:type="dcterms:W3CDTF">2025-04-28T11:38:32Z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