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jc w:val="center"/>
      </w:pPr>
      <w:bookmarkStart w:name="European Union executive agencies – CS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CS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[tiskárna]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[země]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Rukopis</w:t>
      </w:r>
      <w:r>
        <w:rPr>
          <w:spacing w:val="-5"/>
        </w:rPr>
        <w:t> </w:t>
      </w:r>
      <w:r>
        <w:rPr/>
        <w:t>dokončen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[měsíc]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line="540" w:lineRule="atLeast"/>
        <w:ind w:left="85" w:right="4205"/>
      </w:pPr>
      <w:r>
        <w:rPr/>
        <w:t>Revidované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Opravené</w:t>
      </w:r>
      <w:r>
        <w:rPr>
          <w:spacing w:val="-7"/>
        </w:rPr>
        <w:t> </w:t>
      </w:r>
      <w:r>
        <w:rPr/>
        <w:t>vydání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[První/Druhé/</w:t>
      </w:r>
      <w:r>
        <w:rPr>
          <w:i/>
        </w:rPr>
        <w:t>n</w:t>
      </w:r>
      <w:r>
        <w:rPr/>
        <w:t>-té]</w:t>
      </w:r>
      <w:r>
        <w:rPr>
          <w:spacing w:val="-7"/>
        </w:rPr>
        <w:t> </w:t>
      </w:r>
      <w:r>
        <w:rPr/>
        <w:t>vydání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2577"/>
      </w:pPr>
      <w:r>
        <w:rPr/>
        <w:t>Tento</w:t>
      </w:r>
      <w:r>
        <w:rPr>
          <w:spacing w:val="-7"/>
        </w:rPr>
        <w:t> </w:t>
      </w:r>
      <w:r>
        <w:rPr/>
        <w:t>dokument</w:t>
      </w:r>
      <w:r>
        <w:rPr>
          <w:spacing w:val="-7"/>
        </w:rPr>
        <w:t> </w:t>
      </w:r>
      <w:r>
        <w:rPr/>
        <w:t>nemůže</w:t>
      </w:r>
      <w:r>
        <w:rPr>
          <w:spacing w:val="-7"/>
        </w:rPr>
        <w:t> </w:t>
      </w:r>
      <w:r>
        <w:rPr/>
        <w:t>být</w:t>
      </w:r>
      <w:r>
        <w:rPr>
          <w:spacing w:val="-7"/>
        </w:rPr>
        <w:t> </w:t>
      </w:r>
      <w:r>
        <w:rPr/>
        <w:t>považován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oficiální</w:t>
      </w:r>
      <w:r>
        <w:rPr>
          <w:spacing w:val="-7"/>
        </w:rPr>
        <w:t> </w:t>
      </w:r>
      <w:r>
        <w:rPr/>
        <w:t>stanovisko</w:t>
      </w:r>
      <w:r>
        <w:rPr>
          <w:spacing w:val="-7"/>
        </w:rPr>
        <w:t> </w:t>
      </w:r>
      <w:r>
        <w:rPr/>
        <w:t>Evropské</w:t>
      </w:r>
      <w:r>
        <w:rPr>
          <w:spacing w:val="-7"/>
        </w:rPr>
        <w:t> </w:t>
      </w:r>
      <w:r>
        <w:rPr/>
        <w:t>komise. Lucemburk: Úřad pro publikace Evropské unie, [rok]</w:t>
      </w:r>
    </w:p>
    <w:p>
      <w:pPr>
        <w:pStyle w:val="BodyText"/>
        <w:spacing w:line="348" w:lineRule="auto"/>
        <w:ind w:left="85" w:right="7673"/>
      </w:pPr>
      <w:r>
        <w:rPr/>
        <w:t>© [Výkonná agentura], [rok]</w:t>
      </w:r>
      <w:r>
        <w:rPr>
          <w:spacing w:val="40"/>
        </w:rPr>
        <w:t>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left="85" w:right="257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[Výkonná</w:t>
      </w:r>
      <w:r>
        <w:rPr>
          <w:spacing w:val="-4"/>
        </w:rPr>
        <w:t> </w:t>
      </w:r>
      <w:r>
        <w:rPr/>
        <w:t>agentura],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Určitý</w:t>
      </w:r>
      <w:r>
        <w:rPr>
          <w:spacing w:val="-4"/>
        </w:rPr>
        <w:t> </w:t>
      </w:r>
      <w:r>
        <w:rPr/>
        <w:t>obsah</w:t>
      </w:r>
      <w:r>
        <w:rPr>
          <w:spacing w:val="-4"/>
        </w:rPr>
        <w:t> </w:t>
      </w:r>
      <w:r>
        <w:rPr/>
        <w:t>byl</w:t>
      </w:r>
      <w:r>
        <w:rPr>
          <w:spacing w:val="-4"/>
        </w:rPr>
        <w:t> </w:t>
      </w:r>
      <w:r>
        <w:rPr/>
        <w:t>vytvořen</w:t>
      </w:r>
      <w:r>
        <w:rPr>
          <w:spacing w:val="-4"/>
        </w:rPr>
        <w:t> </w:t>
      </w:r>
      <w:r>
        <w:rPr/>
        <w:t>pomocí</w:t>
      </w:r>
      <w:r>
        <w:rPr>
          <w:spacing w:val="-4"/>
        </w:rPr>
        <w:t> </w:t>
      </w:r>
      <w:r>
        <w:rPr/>
        <w:t>[název</w:t>
      </w:r>
      <w:r>
        <w:rPr>
          <w:spacing w:val="-4"/>
        </w:rPr>
        <w:t> </w:t>
      </w:r>
      <w:r>
        <w:rPr/>
        <w:t>nástroje</w:t>
      </w:r>
      <w:r>
        <w:rPr>
          <w:spacing w:val="-4"/>
        </w:rPr>
        <w:t> </w:t>
      </w:r>
      <w:r>
        <w:rPr/>
        <w:t>AI].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85" w:right="377"/>
      </w:pPr>
      <w:r>
        <w:rPr/>
        <w:t>Výkonné</w:t>
      </w:r>
      <w:r>
        <w:rPr>
          <w:spacing w:val="-5"/>
        </w:rPr>
        <w:t> </w:t>
      </w:r>
      <w:r>
        <w:rPr/>
        <w:t>agentury</w:t>
      </w:r>
      <w:r>
        <w:rPr>
          <w:spacing w:val="-5"/>
        </w:rPr>
        <w:t> </w:t>
      </w:r>
      <w:r>
        <w:rPr/>
        <w:t>uplatňují</w:t>
      </w:r>
      <w:r>
        <w:rPr>
          <w:spacing w:val="-5"/>
        </w:rPr>
        <w:t> </w:t>
      </w:r>
      <w:r>
        <w:rPr/>
        <w:t>politiku</w:t>
      </w:r>
      <w:r>
        <w:rPr>
          <w:spacing w:val="-5"/>
        </w:rPr>
        <w:t> </w:t>
      </w:r>
      <w:r>
        <w:rPr/>
        <w:t>Komise</w:t>
      </w:r>
      <w:r>
        <w:rPr>
          <w:spacing w:val="-5"/>
        </w:rPr>
        <w:t> </w:t>
      </w:r>
      <w:r>
        <w:rPr/>
        <w:t>týkající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dalšího</w:t>
      </w:r>
      <w:r>
        <w:rPr>
          <w:spacing w:val="-5"/>
        </w:rPr>
        <w:t> </w:t>
      </w:r>
      <w:r>
        <w:rPr/>
        <w:t>použití,</w:t>
      </w:r>
      <w:r>
        <w:rPr>
          <w:spacing w:val="-5"/>
        </w:rPr>
        <w:t> </w:t>
      </w:r>
      <w:r>
        <w:rPr/>
        <w:t>která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řídí</w:t>
      </w:r>
      <w:r>
        <w:rPr>
          <w:spacing w:val="-5"/>
        </w:rPr>
        <w:t> </w:t>
      </w:r>
      <w:r>
        <w:rPr/>
        <w:t>rozhodnutím</w:t>
      </w:r>
      <w:r>
        <w:rPr>
          <w:spacing w:val="-5"/>
        </w:rPr>
        <w:t> </w:t>
      </w:r>
      <w:r>
        <w:rPr/>
        <w:t>2011/833/EU</w:t>
      </w:r>
      <w:r>
        <w:rPr>
          <w:spacing w:val="-5"/>
        </w:rPr>
        <w:t> </w:t>
      </w:r>
      <w:r>
        <w:rPr/>
        <w:t>ze dne 12. prosince 2011 o opakovaném použití dokumentů Komise (Úř. věst. L 330, 14.12.2011, s. 39, ELI: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85" w:right="45"/>
      </w:pPr>
      <w:r>
        <w:rPr/>
        <w:t>Není-li uvedeno jinak, je opakované použití tohoto dokumentu povoleno v rámci licence Creative Commons 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To</w:t>
      </w:r>
      <w:r>
        <w:rPr>
          <w:spacing w:val="-7"/>
          <w:u w:val="none"/>
        </w:rPr>
        <w:t> </w:t>
      </w:r>
      <w:r>
        <w:rPr>
          <w:u w:val="none"/>
        </w:rPr>
        <w:t>znamená,</w:t>
      </w:r>
      <w:r>
        <w:rPr>
          <w:spacing w:val="-7"/>
          <w:u w:val="none"/>
        </w:rPr>
        <w:t> </w:t>
      </w:r>
      <w:r>
        <w:rPr>
          <w:u w:val="none"/>
        </w:rPr>
        <w:t>že</w:t>
      </w:r>
      <w:r>
        <w:rPr>
          <w:spacing w:val="-7"/>
          <w:u w:val="none"/>
        </w:rPr>
        <w:t> </w:t>
      </w:r>
      <w:r>
        <w:rPr>
          <w:u w:val="none"/>
        </w:rPr>
        <w:t>opakované použití se povoluje za předpokladu, že je řádně uveden zdroj a jakékoli změny.</w:t>
      </w:r>
    </w:p>
    <w:p>
      <w:pPr>
        <w:pStyle w:val="BodyText"/>
        <w:spacing w:before="74"/>
      </w:pPr>
    </w:p>
    <w:p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 w:right="377"/>
      </w:pPr>
      <w:r>
        <w:rPr/>
        <w:t>Kveškerému použití nebo reprodukci prvků, které nejsou ve vlastnictví Evropské unie nebo [výkonná agentura], může</w:t>
      </w:r>
      <w:r>
        <w:rPr>
          <w:spacing w:val="-4"/>
        </w:rPr>
        <w:t> </w:t>
      </w:r>
      <w:r>
        <w:rPr/>
        <w:t>být</w:t>
      </w:r>
      <w:r>
        <w:rPr>
          <w:spacing w:val="-4"/>
        </w:rPr>
        <w:t> </w:t>
      </w:r>
      <w:r>
        <w:rPr/>
        <w:t>nutné</w:t>
      </w:r>
      <w:r>
        <w:rPr>
          <w:spacing w:val="-4"/>
        </w:rPr>
        <w:t> </w:t>
      </w:r>
      <w:r>
        <w:rPr/>
        <w:t>získat</w:t>
      </w:r>
      <w:r>
        <w:rPr>
          <w:spacing w:val="-4"/>
        </w:rPr>
        <w:t> </w:t>
      </w:r>
      <w:r>
        <w:rPr/>
        <w:t>svolení</w:t>
      </w:r>
      <w:r>
        <w:rPr>
          <w:spacing w:val="-4"/>
        </w:rPr>
        <w:t> </w:t>
      </w:r>
      <w:r>
        <w:rPr/>
        <w:t>přímo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příslušných</w:t>
      </w:r>
      <w:r>
        <w:rPr>
          <w:spacing w:val="-4"/>
        </w:rPr>
        <w:t> </w:t>
      </w:r>
      <w:r>
        <w:rPr/>
        <w:t>nositelů</w:t>
      </w:r>
      <w:r>
        <w:rPr>
          <w:spacing w:val="-4"/>
        </w:rPr>
        <w:t> </w:t>
      </w:r>
      <w:r>
        <w:rPr/>
        <w:t>práv.</w:t>
      </w:r>
      <w:r>
        <w:rPr>
          <w:spacing w:val="-4"/>
        </w:rPr>
        <w:t> </w:t>
      </w:r>
      <w:r>
        <w:rPr/>
        <w:t>Evropská</w:t>
      </w:r>
      <w:r>
        <w:rPr>
          <w:spacing w:val="-4"/>
        </w:rPr>
        <w:t> </w:t>
      </w:r>
      <w:r>
        <w:rPr/>
        <w:t>unie</w:t>
      </w:r>
      <w:r>
        <w:rPr>
          <w:spacing w:val="-4"/>
        </w:rPr>
        <w:t> </w:t>
      </w:r>
      <w:r>
        <w:rPr/>
        <w:t>ani</w:t>
      </w:r>
      <w:r>
        <w:rPr>
          <w:spacing w:val="-4"/>
        </w:rPr>
        <w:t> </w:t>
      </w:r>
      <w:r>
        <w:rPr/>
        <w:t>[výkonná</w:t>
      </w:r>
      <w:r>
        <w:rPr>
          <w:spacing w:val="-4"/>
        </w:rPr>
        <w:t> </w:t>
      </w:r>
      <w:r>
        <w:rPr/>
        <w:t>agentura]</w:t>
      </w:r>
      <w:r>
        <w:rPr>
          <w:spacing w:val="-4"/>
        </w:rPr>
        <w:t> </w:t>
      </w:r>
      <w:r>
        <w:rPr/>
        <w:t>nevlastní autorská práva k těmto prvkům: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5"/>
          <w:sz w:val="20"/>
        </w:rPr>
        <w:t> </w:t>
      </w:r>
      <w:r>
        <w:rPr>
          <w:sz w:val="20"/>
        </w:rPr>
        <w:t>[dotyčný</w:t>
      </w:r>
      <w:r>
        <w:rPr>
          <w:spacing w:val="-5"/>
          <w:sz w:val="20"/>
        </w:rPr>
        <w:t> </w:t>
      </w:r>
      <w:r>
        <w:rPr>
          <w:sz w:val="20"/>
        </w:rPr>
        <w:t>prvek],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[dotyčný</w:t>
      </w:r>
      <w:r>
        <w:rPr>
          <w:spacing w:val="-6"/>
          <w:sz w:val="20"/>
        </w:rPr>
        <w:t> </w:t>
      </w:r>
      <w:r>
        <w:rPr>
          <w:sz w:val="20"/>
        </w:rPr>
        <w:t>prvek],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např.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všechna</w:t>
      </w:r>
      <w:r>
        <w:rPr>
          <w:spacing w:val="-5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vyhrazena,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[dotyčný</w:t>
      </w:r>
      <w:r>
        <w:rPr>
          <w:spacing w:val="-4"/>
          <w:sz w:val="20"/>
        </w:rPr>
        <w:t> </w:t>
      </w:r>
      <w:r>
        <w:rPr>
          <w:sz w:val="20"/>
        </w:rPr>
        <w:t>prvek],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např.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licence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rámci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licenci],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[ilustrace/fotografie/atd.]</w:t>
      </w:r>
      <w:r>
        <w:rPr>
          <w:spacing w:val="-9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straně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[jméno</w:t>
      </w:r>
      <w:r>
        <w:rPr>
          <w:spacing w:val="-7"/>
          <w:sz w:val="20"/>
        </w:rPr>
        <w:t> </w:t>
      </w:r>
      <w:r>
        <w:rPr>
          <w:sz w:val="20"/>
        </w:rPr>
        <w:t>umělce],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všechna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vyhrazena.</w:t>
      </w:r>
    </w:p>
    <w:p>
      <w:pPr>
        <w:pStyle w:val="BodyText"/>
        <w:spacing w:before="80"/>
      </w:pPr>
    </w:p>
    <w:p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 w:right="377"/>
      </w:pPr>
      <w:r>
        <w:rPr/>
        <w:t>Kveškerému</w:t>
      </w:r>
      <w:r>
        <w:rPr>
          <w:spacing w:val="-4"/>
        </w:rPr>
        <w:t> </w:t>
      </w:r>
      <w:r>
        <w:rPr/>
        <w:t>použití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reprodukci</w:t>
      </w:r>
      <w:r>
        <w:rPr>
          <w:spacing w:val="-4"/>
        </w:rPr>
        <w:t> </w:t>
      </w:r>
      <w:r>
        <w:rPr/>
        <w:t>prvků,</w:t>
      </w:r>
      <w:r>
        <w:rPr>
          <w:spacing w:val="-4"/>
        </w:rPr>
        <w:t> </w:t>
      </w:r>
      <w:r>
        <w:rPr/>
        <w:t>které</w:t>
      </w:r>
      <w:r>
        <w:rPr>
          <w:spacing w:val="-4"/>
        </w:rPr>
        <w:t> </w:t>
      </w:r>
      <w:r>
        <w:rPr/>
        <w:t>nejsou</w:t>
      </w:r>
      <w:r>
        <w:rPr>
          <w:spacing w:val="-4"/>
        </w:rPr>
        <w:t> </w:t>
      </w:r>
      <w:r>
        <w:rPr/>
        <w:t>ve</w:t>
      </w:r>
      <w:r>
        <w:rPr>
          <w:spacing w:val="-4"/>
        </w:rPr>
        <w:t> </w:t>
      </w:r>
      <w:r>
        <w:rPr/>
        <w:t>vlastnictví</w:t>
      </w:r>
      <w:r>
        <w:rPr>
          <w:spacing w:val="-4"/>
        </w:rPr>
        <w:t> </w:t>
      </w:r>
      <w:r>
        <w:rPr/>
        <w:t>Evropské</w:t>
      </w:r>
      <w:r>
        <w:rPr>
          <w:spacing w:val="-4"/>
        </w:rPr>
        <w:t> </w:t>
      </w:r>
      <w:r>
        <w:rPr/>
        <w:t>unie</w:t>
      </w:r>
      <w:r>
        <w:rPr>
          <w:spacing w:val="-4"/>
        </w:rPr>
        <w:t> </w:t>
      </w:r>
      <w:r>
        <w:rPr/>
        <w:t>nebo</w:t>
      </w:r>
      <w:r>
        <w:rPr>
          <w:spacing w:val="-4"/>
        </w:rPr>
        <w:t> </w:t>
      </w:r>
      <w:r>
        <w:rPr/>
        <w:t>[výkonná</w:t>
      </w:r>
      <w:r>
        <w:rPr>
          <w:spacing w:val="-4"/>
        </w:rPr>
        <w:t> </w:t>
      </w:r>
      <w:r>
        <w:rPr/>
        <w:t>agentura], může být nutné získat svolení přímo od příslušných nositelů práv.</w:t>
      </w:r>
    </w:p>
    <w:p>
      <w:pPr>
        <w:pStyle w:val="BodyText"/>
        <w:spacing w:before="127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71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45" w:firstLine="0"/>
        <w:jc w:val="left"/>
        <w:rPr>
          <w:sz w:val="18"/>
        </w:rPr>
      </w:pPr>
      <w:r>
        <w:rPr>
          <w:sz w:val="18"/>
        </w:rPr>
        <w:t>Opakované použití povoleno pod podmínkou, že je uveden zdroj a původní význam nebo sdělení tohoto dokumentu nejsou zkresleny. Evropská komise neodpovídá za jakékoli následky plynoucí z opakovaného použití této publikace. Politiku</w:t>
      </w:r>
      <w:r>
        <w:rPr>
          <w:spacing w:val="-5"/>
          <w:sz w:val="18"/>
        </w:rPr>
        <w:t> </w:t>
      </w:r>
      <w:r>
        <w:rPr>
          <w:sz w:val="18"/>
        </w:rPr>
        <w:t>opakovaného</w:t>
      </w:r>
      <w:r>
        <w:rPr>
          <w:spacing w:val="-5"/>
          <w:sz w:val="18"/>
        </w:rPr>
        <w:t> </w:t>
      </w:r>
      <w:r>
        <w:rPr>
          <w:sz w:val="18"/>
        </w:rPr>
        <w:t>použití</w:t>
      </w:r>
      <w:r>
        <w:rPr>
          <w:spacing w:val="-5"/>
          <w:sz w:val="18"/>
        </w:rPr>
        <w:t> </w:t>
      </w:r>
      <w:r>
        <w:rPr>
          <w:sz w:val="18"/>
        </w:rPr>
        <w:t>dokumentů</w:t>
      </w:r>
      <w:r>
        <w:rPr>
          <w:spacing w:val="-5"/>
          <w:sz w:val="18"/>
        </w:rPr>
        <w:t> </w:t>
      </w:r>
      <w:r>
        <w:rPr>
          <w:sz w:val="18"/>
        </w:rPr>
        <w:t>Evropské</w:t>
      </w:r>
      <w:r>
        <w:rPr>
          <w:spacing w:val="-5"/>
          <w:sz w:val="18"/>
        </w:rPr>
        <w:t> </w:t>
      </w:r>
      <w:r>
        <w:rPr>
          <w:sz w:val="18"/>
        </w:rPr>
        <w:t>komise</w:t>
      </w:r>
      <w:r>
        <w:rPr>
          <w:spacing w:val="-5"/>
          <w:sz w:val="18"/>
        </w:rPr>
        <w:t> </w:t>
      </w:r>
      <w:r>
        <w:rPr>
          <w:sz w:val="18"/>
        </w:rPr>
        <w:t>upravuje</w:t>
      </w:r>
      <w:r>
        <w:rPr>
          <w:spacing w:val="-5"/>
          <w:sz w:val="18"/>
        </w:rPr>
        <w:t> </w:t>
      </w:r>
      <w:r>
        <w:rPr>
          <w:sz w:val="18"/>
        </w:rPr>
        <w:t>rozhodnutí</w:t>
      </w:r>
      <w:r>
        <w:rPr>
          <w:spacing w:val="-5"/>
          <w:sz w:val="18"/>
        </w:rPr>
        <w:t> </w:t>
      </w:r>
      <w:r>
        <w:rPr>
          <w:sz w:val="18"/>
        </w:rPr>
        <w:t>Komise</w:t>
      </w:r>
      <w:r>
        <w:rPr>
          <w:spacing w:val="-5"/>
          <w:sz w:val="18"/>
        </w:rPr>
        <w:t> </w:t>
      </w:r>
      <w:r>
        <w:rPr>
          <w:sz w:val="18"/>
        </w:rPr>
        <w:t>2011/833/EU</w:t>
      </w:r>
      <w:r>
        <w:rPr>
          <w:spacing w:val="-5"/>
          <w:sz w:val="18"/>
        </w:rPr>
        <w:t> </w:t>
      </w:r>
      <w:r>
        <w:rPr>
          <w:sz w:val="18"/>
        </w:rPr>
        <w:t>ze</w:t>
      </w:r>
      <w:r>
        <w:rPr>
          <w:spacing w:val="-5"/>
          <w:sz w:val="18"/>
        </w:rPr>
        <w:t> </w:t>
      </w:r>
      <w:r>
        <w:rPr>
          <w:sz w:val="18"/>
        </w:rPr>
        <w:t>dne</w:t>
      </w:r>
      <w:r>
        <w:rPr>
          <w:spacing w:val="-5"/>
          <w:sz w:val="18"/>
        </w:rPr>
        <w:t> </w:t>
      </w:r>
      <w:r>
        <w:rPr>
          <w:sz w:val="18"/>
        </w:rPr>
        <w:t>12.</w:t>
      </w:r>
      <w:r>
        <w:rPr>
          <w:spacing w:val="-5"/>
          <w:sz w:val="18"/>
        </w:rPr>
        <w:t> </w:t>
      </w:r>
      <w:r>
        <w:rPr>
          <w:sz w:val="18"/>
        </w:rPr>
        <w:t>prosince 2011 o opakovaném použití dokumentů Komise (Úř. věst.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3"/>
        </w:rPr>
        <w:t> </w:t>
      </w:r>
      <w:r>
        <w:rPr/>
        <w:t>DPH)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Lucembursku: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Obraťte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Osobně</w:t>
      </w:r>
    </w:p>
    <w:p>
      <w:pPr>
        <w:spacing w:line="290" w:lineRule="auto" w:before="166"/>
        <w:ind w:left="369" w:right="377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4"/>
          <w:sz w:val="22"/>
        </w:rPr>
        <w:t> </w:t>
      </w:r>
      <w:r>
        <w:rPr>
          <w:sz w:val="22"/>
        </w:rPr>
        <w:t>celé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nachází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středisek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nejbližšího</w:t>
      </w:r>
      <w:r>
        <w:rPr>
          <w:spacing w:val="-4"/>
          <w:sz w:val="22"/>
        </w:rPr>
        <w:t> </w:t>
      </w:r>
      <w:r>
        <w:rPr>
          <w:sz w:val="22"/>
        </w:rPr>
        <w:t>střediska naleznete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Telefonicky</w:t>
      </w:r>
      <w:r>
        <w:rPr>
          <w:spacing w:val="-15"/>
        </w:rPr>
        <w:t> </w:t>
      </w:r>
      <w:r>
        <w:rPr/>
        <w:t>nebo</w:t>
      </w:r>
      <w:r>
        <w:rPr>
          <w:spacing w:val="-15"/>
        </w:rPr>
        <w:t> </w:t>
      </w:r>
      <w:r>
        <w:rPr>
          <w:spacing w:val="-2"/>
        </w:rPr>
        <w:t>písemně</w:t>
      </w:r>
    </w:p>
    <w:p>
      <w:pPr>
        <w:spacing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která</w:t>
      </w:r>
      <w:r>
        <w:rPr>
          <w:spacing w:val="-4"/>
          <w:sz w:val="22"/>
        </w:rPr>
        <w:t> </w:t>
      </w:r>
      <w:r>
        <w:rPr>
          <w:sz w:val="22"/>
        </w:rPr>
        <w:t>odpoví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dotazy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unii.</w:t>
      </w:r>
      <w:r>
        <w:rPr>
          <w:spacing w:val="-4"/>
          <w:sz w:val="22"/>
        </w:rPr>
        <w:t> </w:t>
      </w:r>
      <w:r>
        <w:rPr>
          <w:sz w:val="22"/>
        </w:rPr>
        <w:t>Můžete</w:t>
      </w:r>
      <w:r>
        <w:rPr>
          <w:spacing w:val="-4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ni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obrátit: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66" w:after="0"/>
        <w:ind w:left="759" w:right="668" w:hanging="400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4"/>
          <w:sz w:val="22"/>
        </w:rPr>
        <w:t> </w:t>
      </w:r>
      <w:r>
        <w:rPr>
          <w:sz w:val="22"/>
        </w:rPr>
        <w:t>bezplatné</w:t>
      </w:r>
      <w:r>
        <w:rPr>
          <w:spacing w:val="-4"/>
          <w:sz w:val="22"/>
        </w:rPr>
        <w:t> </w:t>
      </w:r>
      <w:r>
        <w:rPr>
          <w:sz w:val="22"/>
        </w:rPr>
        <w:t>telefonní</w:t>
      </w:r>
      <w:r>
        <w:rPr>
          <w:spacing w:val="-4"/>
          <w:sz w:val="22"/>
        </w:rPr>
        <w:t> </w:t>
      </w:r>
      <w:r>
        <w:rPr>
          <w:sz w:val="22"/>
        </w:rPr>
        <w:t>linky: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(někteří</w:t>
      </w:r>
      <w:r>
        <w:rPr>
          <w:spacing w:val="-4"/>
          <w:sz w:val="22"/>
        </w:rPr>
        <w:t> </w:t>
      </w:r>
      <w:r>
        <w:rPr>
          <w:sz w:val="22"/>
        </w:rPr>
        <w:t>operátoři</w:t>
      </w:r>
      <w:r>
        <w:rPr>
          <w:spacing w:val="-4"/>
          <w:sz w:val="22"/>
        </w:rPr>
        <w:t> </w:t>
      </w:r>
      <w:r>
        <w:rPr>
          <w:sz w:val="22"/>
        </w:rPr>
        <w:t>mohou</w:t>
      </w:r>
      <w:r>
        <w:rPr>
          <w:spacing w:val="-4"/>
          <w:sz w:val="22"/>
        </w:rPr>
        <w:t> </w:t>
      </w:r>
      <w:r>
        <w:rPr>
          <w:sz w:val="22"/>
        </w:rPr>
        <w:t>tento hovor účtovat),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standardním</w:t>
      </w:r>
      <w:r>
        <w:rPr>
          <w:spacing w:val="-3"/>
          <w:sz w:val="22"/>
        </w:rPr>
        <w:t> </w:t>
      </w:r>
      <w:r>
        <w:rPr>
          <w:sz w:val="22"/>
        </w:rPr>
        <w:t>telefonním</w:t>
      </w:r>
      <w:r>
        <w:rPr>
          <w:spacing w:val="-2"/>
          <w:sz w:val="22"/>
        </w:rPr>
        <w:t> </w:t>
      </w:r>
      <w:r>
        <w:rPr>
          <w:sz w:val="22"/>
        </w:rPr>
        <w:t>čísle: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2"/>
          <w:sz w:val="22"/>
        </w:rPr>
        <w:t> 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prostřednictvím</w:t>
      </w:r>
      <w:r>
        <w:rPr>
          <w:spacing w:val="-6"/>
          <w:sz w:val="22"/>
        </w:rPr>
        <w:t> </w:t>
      </w:r>
      <w:r>
        <w:rPr>
          <w:sz w:val="22"/>
        </w:rPr>
        <w:t>tohoto</w:t>
      </w:r>
      <w:r>
        <w:rPr>
          <w:spacing w:val="-6"/>
          <w:sz w:val="22"/>
        </w:rPr>
        <w:t> </w:t>
      </w:r>
      <w:r>
        <w:rPr>
          <w:sz w:val="22"/>
        </w:rPr>
        <w:t>formuláře:</w:t>
      </w:r>
      <w:r>
        <w:rPr>
          <w:spacing w:val="-5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us_cs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Vyhledávání</w:t>
      </w:r>
      <w:r>
        <w:rPr>
          <w:spacing w:val="-10"/>
        </w:rPr>
        <w:t> </w:t>
      </w:r>
      <w:r>
        <w:rPr/>
        <w:t>informací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392" w:firstLine="0"/>
        <w:jc w:val="left"/>
        <w:rPr>
          <w:sz w:val="22"/>
        </w:rPr>
      </w:pP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Evropské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</w:t>
      </w:r>
      <w:r>
        <w:rPr>
          <w:spacing w:val="-4"/>
          <w:sz w:val="22"/>
        </w:rPr>
        <w:t> </w:t>
      </w:r>
      <w:r>
        <w:rPr>
          <w:sz w:val="22"/>
        </w:rPr>
        <w:t>jazycích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jsou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internetových</w:t>
      </w:r>
      <w:r>
        <w:rPr>
          <w:spacing w:val="-4"/>
          <w:sz w:val="22"/>
        </w:rPr>
        <w:t> </w:t>
      </w:r>
      <w:r>
        <w:rPr>
          <w:sz w:val="22"/>
        </w:rPr>
        <w:t>stránkách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Publikace</w:t>
      </w:r>
      <w:r>
        <w:rPr>
          <w:spacing w:val="-9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369" w:right="680" w:firstLine="0"/>
        <w:jc w:val="left"/>
        <w:rPr>
          <w:sz w:val="22"/>
        </w:rPr>
      </w:pPr>
      <w:r>
        <w:rPr>
          <w:sz w:val="22"/>
        </w:rPr>
        <w:t>Publikace EU si můžete prohlédnout nebo objednat na adrese </w:t>
      </w:r>
      <w:hyperlink r:id="rId13">
        <w:r>
          <w:rPr>
            <w:color w:val="0000FF"/>
            <w:sz w:val="22"/>
            <w:u w:val="single" w:color="0000FF"/>
          </w:rPr>
          <w:t>op.europa.eu/cs/publications</w:t>
        </w:r>
      </w:hyperlink>
      <w:r>
        <w:rPr>
          <w:sz w:val="22"/>
          <w:u w:val="none"/>
        </w:rPr>
        <w:t>. Chcete-li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obdržet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více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než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výtisk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bezplatných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publikací,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obraťte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 nebo na místní dokumentační střediska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european-union.europa.eu/contact-eu/meet-us_cs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související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369" w:right="377" w:firstLine="0"/>
        <w:jc w:val="left"/>
        <w:rPr>
          <w:sz w:val="22"/>
        </w:rPr>
      </w:pPr>
      <w:r>
        <w:rPr>
          <w:sz w:val="22"/>
        </w:rPr>
        <w:t>Právní</w:t>
      </w:r>
      <w:r>
        <w:rPr>
          <w:spacing w:val="-4"/>
          <w:sz w:val="22"/>
        </w:rPr>
        <w:t> </w:t>
      </w:r>
      <w:r>
        <w:rPr>
          <w:sz w:val="22"/>
        </w:rPr>
        <w:t>informace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včetně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právních</w:t>
      </w:r>
      <w:r>
        <w:rPr>
          <w:spacing w:val="-4"/>
          <w:sz w:val="22"/>
        </w:rPr>
        <w:t> </w:t>
      </w:r>
      <w:r>
        <w:rPr>
          <w:sz w:val="22"/>
        </w:rPr>
        <w:t>předpisů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ve</w:t>
      </w:r>
      <w:r>
        <w:rPr>
          <w:spacing w:val="-4"/>
          <w:sz w:val="22"/>
        </w:rPr>
        <w:t> </w:t>
      </w:r>
      <w:r>
        <w:rPr>
          <w:sz w:val="22"/>
        </w:rPr>
        <w:t>všech</w:t>
      </w:r>
      <w:r>
        <w:rPr>
          <w:spacing w:val="-4"/>
          <w:sz w:val="22"/>
        </w:rPr>
        <w:t> </w:t>
      </w:r>
      <w:r>
        <w:rPr>
          <w:sz w:val="22"/>
        </w:rPr>
        <w:t>úředních jazykových verzích jsou dostupné na stránkách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Veřejně</w:t>
      </w:r>
      <w:r>
        <w:rPr>
          <w:spacing w:val="-10"/>
        </w:rPr>
        <w:t> </w:t>
      </w:r>
      <w:r>
        <w:rPr/>
        <w:t>přístupná</w:t>
      </w:r>
      <w:r>
        <w:rPr>
          <w:spacing w:val="-10"/>
        </w:rPr>
        <w:t> </w:t>
      </w:r>
      <w:r>
        <w:rPr/>
        <w:t>data</w:t>
      </w:r>
      <w:r>
        <w:rPr>
          <w:spacing w:val="-10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369" w:right="386" w:firstLine="0"/>
        <w:jc w:val="left"/>
        <w:rPr>
          <w:sz w:val="22"/>
        </w:rPr>
      </w:pPr>
      <w:r>
        <w:rPr>
          <w:sz w:val="22"/>
        </w:rPr>
        <w:t>Portál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volný přístup k datovým souborům orgánů, institucí a jiných subjektů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lze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zdarma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stáhnout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opakovaně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použít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pro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nekomerční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 rovněž poskytuje přístup k velkému množství datových souborů z evropských zemí.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cs-CZ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cs-CZ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cs-CZ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cs-CZ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cs-CZ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cs-CZ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cs-CZ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cs-CZ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cs-CZ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cs-CZ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cs-CZ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cs-CZ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cs-CZ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cs-CZ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cs-CZ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79"/>
    </w:pPr>
    <w:rPr>
      <w:rFonts w:ascii="Arial" w:hAnsi="Arial" w:eastAsia="Arial" w:cs="Arial"/>
      <w:lang w:val="cs-CZ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cs-CZ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cs" TargetMode="External"/><Relationship Id="rId11" Type="http://schemas.openxmlformats.org/officeDocument/2006/relationships/hyperlink" Target="https://european-union.europa.eu/contact-eu/write-us_cs" TargetMode="External"/><Relationship Id="rId12" Type="http://schemas.openxmlformats.org/officeDocument/2006/relationships/hyperlink" Target="https://european-union.europa.eu/index_cs" TargetMode="External"/><Relationship Id="rId13" Type="http://schemas.openxmlformats.org/officeDocument/2006/relationships/hyperlink" Target="https://op.europa.eu/c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c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CS</dc:title>
  <dcterms:created xsi:type="dcterms:W3CDTF">2025-06-16T09:49:42Z</dcterms:created>
  <dcterms:modified xsi:type="dcterms:W3CDTF">2025-06-16T09:49:42Z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