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100"/>
        <w:jc w:val="center"/>
      </w:pPr>
      <w:bookmarkStart w:name="European Commission – HU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Commission</w:t>
      </w:r>
      <w:r>
        <w:rPr>
          <w:color w:val="FF0000"/>
          <w:spacing w:val="-6"/>
        </w:rPr>
        <w:t> </w:t>
      </w:r>
      <w:r>
        <w:rPr>
          <w:color w:val="FF0000"/>
        </w:rPr>
        <w:t>–</w:t>
      </w:r>
      <w:r>
        <w:rPr>
          <w:color w:val="FF0000"/>
          <w:spacing w:val="-6"/>
        </w:rPr>
        <w:t> </w:t>
      </w:r>
      <w:r>
        <w:rPr>
          <w:color w:val="FF0000"/>
          <w:spacing w:val="-5"/>
        </w:rPr>
        <w:t>HU</w:t>
      </w:r>
    </w:p>
    <w:p>
      <w:pPr>
        <w:pStyle w:val="BodyText"/>
        <w:spacing w:before="71"/>
        <w:ind w:left="0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[nyomda]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[ország]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Kézirat</w:t>
      </w:r>
      <w:r>
        <w:rPr>
          <w:spacing w:val="-9"/>
        </w:rPr>
        <w:t> </w:t>
      </w:r>
      <w:r>
        <w:rPr/>
        <w:t>lezárva:</w:t>
      </w:r>
      <w:r>
        <w:rPr>
          <w:spacing w:val="-7"/>
        </w:rPr>
        <w:t> </w:t>
      </w:r>
      <w:r>
        <w:rPr/>
        <w:t>[év].</w:t>
      </w:r>
      <w:r>
        <w:rPr>
          <w:spacing w:val="-6"/>
        </w:rPr>
        <w:t> </w:t>
      </w:r>
      <w:r>
        <w:rPr>
          <w:spacing w:val="-2"/>
        </w:rPr>
        <w:t>[hónap]</w:t>
      </w:r>
    </w:p>
    <w:p>
      <w:pPr>
        <w:pStyle w:val="BodyText"/>
        <w:spacing w:line="540" w:lineRule="atLeast"/>
        <w:ind w:right="4822"/>
      </w:pPr>
      <w:r>
        <w:rPr/>
        <w:t>Felülvizsgált</w:t>
      </w:r>
      <w:r>
        <w:rPr>
          <w:spacing w:val="-7"/>
        </w:rPr>
        <w:t> </w:t>
      </w:r>
      <w:r>
        <w:rPr/>
        <w:t>kiadás</w:t>
      </w:r>
      <w:r>
        <w:rPr>
          <w:spacing w:val="-5"/>
        </w:rPr>
        <w:t> </w:t>
      </w:r>
      <w:r>
        <w:rPr/>
        <w:t>/</w:t>
      </w:r>
      <w:r>
        <w:rPr>
          <w:spacing w:val="-7"/>
        </w:rPr>
        <w:t> </w:t>
      </w:r>
      <w:r>
        <w:rPr/>
        <w:t>Javított</w:t>
      </w:r>
      <w:r>
        <w:rPr>
          <w:spacing w:val="-7"/>
        </w:rPr>
        <w:t> </w:t>
      </w:r>
      <w:r>
        <w:rPr/>
        <w:t>kiadás</w:t>
      </w:r>
      <w:r>
        <w:rPr>
          <w:spacing w:val="-6"/>
        </w:rPr>
        <w:t> </w:t>
      </w:r>
      <w:r>
        <w:rPr/>
        <w:t>/</w:t>
      </w:r>
      <w:r>
        <w:rPr>
          <w:spacing w:val="-7"/>
        </w:rPr>
        <w:t> </w:t>
      </w:r>
      <w:r>
        <w:rPr/>
        <w:t>(Első/Második/</w:t>
      </w:r>
      <w:r>
        <w:rPr>
          <w:i/>
        </w:rPr>
        <w:t>n</w:t>
      </w:r>
      <w:r>
        <w:rPr/>
        <w:t>.)</w:t>
      </w:r>
      <w:r>
        <w:rPr>
          <w:spacing w:val="-7"/>
        </w:rPr>
        <w:t> </w:t>
      </w:r>
      <w:r>
        <w:rPr/>
        <w:t>kiadás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1403"/>
      </w:pPr>
      <w:r>
        <w:rPr/>
        <w:t>E</w:t>
      </w:r>
      <w:r>
        <w:rPr>
          <w:spacing w:val="-5"/>
        </w:rPr>
        <w:t> </w:t>
      </w:r>
      <w:r>
        <w:rPr/>
        <w:t>dokumentum</w:t>
      </w:r>
      <w:r>
        <w:rPr>
          <w:spacing w:val="-5"/>
        </w:rPr>
        <w:t> </w:t>
      </w:r>
      <w:r>
        <w:rPr/>
        <w:t>tartalma</w:t>
      </w:r>
      <w:r>
        <w:rPr>
          <w:spacing w:val="-5"/>
        </w:rPr>
        <w:t> </w:t>
      </w:r>
      <w:r>
        <w:rPr/>
        <w:t>nem</w:t>
      </w:r>
      <w:r>
        <w:rPr>
          <w:spacing w:val="-5"/>
        </w:rPr>
        <w:t> </w:t>
      </w:r>
      <w:r>
        <w:rPr/>
        <w:t>tekinthető</w:t>
      </w:r>
      <w:r>
        <w:rPr>
          <w:spacing w:val="-5"/>
        </w:rPr>
        <w:t> </w:t>
      </w:r>
      <w:r>
        <w:rPr/>
        <w:t>az</w:t>
      </w:r>
      <w:r>
        <w:rPr>
          <w:spacing w:val="-5"/>
        </w:rPr>
        <w:t> </w:t>
      </w:r>
      <w:r>
        <w:rPr/>
        <w:t>Európai</w:t>
      </w:r>
      <w:r>
        <w:rPr>
          <w:spacing w:val="-5"/>
        </w:rPr>
        <w:t> </w:t>
      </w:r>
      <w:r>
        <w:rPr/>
        <w:t>Bizottság</w:t>
      </w:r>
      <w:r>
        <w:rPr>
          <w:spacing w:val="-5"/>
        </w:rPr>
        <w:t> </w:t>
      </w:r>
      <w:r>
        <w:rPr/>
        <w:t>hivatalos</w:t>
      </w:r>
      <w:r>
        <w:rPr>
          <w:spacing w:val="-5"/>
        </w:rPr>
        <w:t> </w:t>
      </w:r>
      <w:r>
        <w:rPr/>
        <w:t>állásfoglalásának. Luxembourg: Az Európai Unió Kiadóhivatala, [évszám]</w:t>
      </w:r>
    </w:p>
    <w:p>
      <w:pPr>
        <w:pStyle w:val="BodyText"/>
        <w:spacing w:line="348" w:lineRule="auto"/>
        <w:ind w:right="4822"/>
      </w:pPr>
      <w:r>
        <w:rPr/>
        <w:t>©</w:t>
      </w:r>
      <w:r>
        <w:rPr>
          <w:spacing w:val="-7"/>
        </w:rPr>
        <w:t> </w:t>
      </w:r>
      <w:r>
        <w:rPr/>
        <w:t>[Európai</w:t>
      </w:r>
      <w:r>
        <w:rPr>
          <w:spacing w:val="-7"/>
        </w:rPr>
        <w:t> </w:t>
      </w:r>
      <w:r>
        <w:rPr/>
        <w:t>Unió</w:t>
      </w:r>
      <w:r>
        <w:rPr>
          <w:spacing w:val="-7"/>
        </w:rPr>
        <w:t> </w:t>
      </w:r>
      <w:r>
        <w:rPr/>
        <w:t>/</w:t>
      </w:r>
      <w:r>
        <w:rPr>
          <w:spacing w:val="-7"/>
        </w:rPr>
        <w:t> </w:t>
      </w:r>
      <w:r>
        <w:rPr/>
        <w:t>Európai</w:t>
      </w:r>
      <w:r>
        <w:rPr>
          <w:spacing w:val="-7"/>
        </w:rPr>
        <w:t> </w:t>
      </w:r>
      <w:r>
        <w:rPr/>
        <w:t>Atomenergia-közösség],</w:t>
      </w:r>
      <w:r>
        <w:rPr>
          <w:spacing w:val="-7"/>
        </w:rPr>
        <w:t> </w:t>
      </w:r>
      <w:r>
        <w:rPr/>
        <w:t>[évszám]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/>
      </w:pPr>
      <w:r>
        <w:rPr/>
        <w:t>©</w:t>
      </w:r>
      <w:r>
        <w:rPr>
          <w:spacing w:val="-4"/>
        </w:rPr>
        <w:t> </w:t>
      </w:r>
      <w:r>
        <w:rPr/>
        <w:t>[Európai</w:t>
      </w:r>
      <w:r>
        <w:rPr>
          <w:spacing w:val="-4"/>
        </w:rPr>
        <w:t> </w:t>
      </w:r>
      <w:r>
        <w:rPr/>
        <w:t>Unió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Európai</w:t>
      </w:r>
      <w:r>
        <w:rPr>
          <w:spacing w:val="-4"/>
        </w:rPr>
        <w:t> </w:t>
      </w:r>
      <w:r>
        <w:rPr/>
        <w:t>Atomenergia-közösség],</w:t>
      </w:r>
      <w:r>
        <w:rPr>
          <w:spacing w:val="-4"/>
        </w:rPr>
        <w:t> </w:t>
      </w:r>
      <w:r>
        <w:rPr/>
        <w:t>[évszám].</w:t>
      </w:r>
      <w:r>
        <w:rPr>
          <w:spacing w:val="-4"/>
        </w:rPr>
        <w:t> </w:t>
      </w:r>
      <w:r>
        <w:rPr/>
        <w:t>Egyes</w:t>
      </w:r>
      <w:r>
        <w:rPr>
          <w:spacing w:val="-4"/>
        </w:rPr>
        <w:t> </w:t>
      </w:r>
      <w:r>
        <w:rPr/>
        <w:t>tartalmakat</w:t>
      </w:r>
      <w:r>
        <w:rPr>
          <w:spacing w:val="-4"/>
        </w:rPr>
        <w:t> </w:t>
      </w:r>
      <w:r>
        <w:rPr/>
        <w:t>a(z)</w:t>
      </w:r>
      <w:r>
        <w:rPr>
          <w:spacing w:val="-4"/>
        </w:rPr>
        <w:t> </w:t>
      </w:r>
      <w:r>
        <w:rPr/>
        <w:t>[MI-eszköz</w:t>
      </w:r>
      <w:r>
        <w:rPr>
          <w:spacing w:val="-4"/>
        </w:rPr>
        <w:t> </w:t>
      </w:r>
      <w:r>
        <w:rPr/>
        <w:t>neve]</w:t>
      </w:r>
      <w:r>
        <w:rPr>
          <w:spacing w:val="-4"/>
        </w:rPr>
        <w:t> </w:t>
      </w:r>
      <w:r>
        <w:rPr/>
        <w:t>segítségével hoztak létre.</w:t>
      </w:r>
    </w:p>
    <w:p>
      <w:pPr>
        <w:pStyle w:val="BodyText"/>
        <w:spacing w:before="187" w:after="4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</w:pPr>
      <w:r>
        <w:rPr/>
        <mc:AlternateContent>
          <mc:Choice Requires="wps">
            <w:drawing>
              <wp:inline distT="0" distB="0" distL="0" distR="0">
                <wp:extent cx="1143000" cy="400050"/>
                <wp:effectExtent l="0" t="0" r="0" b="0"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style="width:90pt;height:31.5pt;mso-position-horizontal-relative:char;mso-position-vertical-relative:line" id="docshapegroup1" coordorigin="0,0" coordsize="1800,630">
                <v:shape style="position:absolute;left:4;top:7;width:1789;height:611" id="docshape2" coordorigin="4,8" coordsize="1789,611" path="m1790,618l4,618,4,56,5,38,10,22,23,12,47,8,1747,11,1764,11,1779,15,1789,29,1792,58,1790,618xe" filled="true" fillcolor="#aab2ab" stroked="false">
                  <v:path arrowok="t"/>
                  <v:fill type="solid"/>
                </v:shape>
                <v:shape style="position:absolute;left:0;top:0;width:1800;height:630" id="docshape3" coordorigin="0,0" coordsize="1800,630" path="m1797,630l3,630,0,627,0,34,3,21,10,10,21,3,34,0,1766,0,1779,3,1790,10,1794,15,24,15,15,24,15,443,76,443,117,499,172,543,237,571,309,581,1800,581,1800,627,1797,630xm1800,581l309,581,382,571,446,543,501,499,542,443,1785,443,1785,24,1776,15,1794,15,1797,21,1800,34,1800,581xe" filled="true" fillcolor="#000000" stroked="false">
                  <v:path arrowok="t"/>
                  <v:fill type="solid"/>
                </v:shape>
                <v:shape style="position:absolute;left:104;top:89;width:1138;height:502" id="docshape4" coordorigin="105,89" coordsize="1138,502" path="m514,294l498,214,454,149,389,105,309,89,230,106,165,149,121,214,105,294,121,374,165,439,230,483,309,499,389,483,454,439,498,374,514,294xm1144,567l1144,555,1142,550,1139,546,1136,541,1132,538,1125,537,1130,534,1133,532,1133,531,1138,525,1139,521,1139,511,1138,508,1138,507,1135,501,1133,498,1127,495,1124,493,1122,493,1122,555,1122,563,1121,565,1120,569,1118,570,1115,572,1114,572,1110,573,1108,574,1082,574,1082,546,1111,546,1115,547,1120,552,1122,555,1122,493,1118,492,1118,517,1118,524,1116,527,1111,530,1108,531,1082,531,1082,508,1106,508,1110,509,1112,510,1114,511,1116,512,1117,515,1118,517,1118,492,1116,492,1112,491,1060,491,1060,591,1113,591,1117,590,1126,588,1130,586,1136,581,1139,578,1141,574,1142,573,1143,571,1144,567xm1243,491l1218,491,1195,530,1172,491,1148,491,1184,552,1184,591,1206,591,1206,552,1243,491xe" filled="true" fillcolor="#ffffff" stroked="false">
                  <v:path arrowok="t"/>
                  <v:fill type="solid"/>
                </v:shape>
                <v:shape style="position:absolute;left:75;top:59;width:469;height:470" id="docshape5" coordorigin="75,59" coordsize="469,470" path="m309,529l262,524,263,524,220,511,220,511,180,490,144,459,114,423,92,384,79,341,75,294,79,248,92,204,114,164,144,128,180,98,219,76,262,64,309,59,356,64,400,76,440,98,444,102,310,102,272,105,236,116,204,133,175,158,150,188,132,221,121,256,117,294,117,294,120,329,121,331,121,332,131,367,149,399,174,429,204,454,236,472,236,472,272,482,271,482,310,486,444,486,440,489,399,511,356,524,309,529xm444,486l310,486,348,482,383,472,416,454,446,429,471,400,488,368,498,333,502,294,498,258,498,256,498,255,488,220,470,187,446,158,416,133,384,116,348,105,310,102,444,102,476,128,505,163,527,203,539,247,544,294,544,294,539,341,539,341,527,385,506,424,477,459,444,486xm246,367l246,367,231,366,217,362,205,356,195,348,187,337,181,324,177,310,176,294,177,278,181,264,187,252,196,241,206,232,218,226,231,222,246,221,243,221,265,223,282,230,296,240,304,252,249,252,236,255,226,263,220,276,218,294,220,312,226,325,236,333,235,333,249,336,304,336,296,346,282,358,265,365,246,367xm381,367l381,367,366,366,353,362,341,356,331,348,322,337,317,324,313,310,312,294,313,278,317,264,323,252,331,241,341,232,353,226,366,222,382,221,379,221,400,223,417,230,431,240,440,252,385,252,371,255,361,263,355,276,353,294,355,312,361,325,371,333,370,333,385,336,439,336,431,346,417,358,401,365,381,367xm276,271l270,258,261,252,304,252,307,255,276,271xm410,271l405,258,396,252,440,252,442,255,410,271xm304,336l263,336,273,329,279,315,307,331,304,336xm439,336l398,336,408,329,413,315,443,331,439,336xe" filled="true" fillcolor="#000000" stroked="false">
                  <v:path arrowok="t"/>
                  <v:fill type="solid"/>
                </v:shape>
                <v:shape style="position:absolute;left:969;top:50;width:348;height:348" type="#_x0000_t75" id="docshape6" stroked="false">
                  <v:imagedata r:id="rId5" o:title=""/>
                </v:shape>
              </v:group>
            </w:pict>
          </mc:Fallback>
        </mc:AlternateContent>
      </w:r>
      <w:r>
        <w:rPr/>
      </w:r>
    </w:p>
    <w:p>
      <w:pPr>
        <w:pStyle w:val="BodyText"/>
        <w:spacing w:line="237" w:lineRule="auto" w:before="43"/>
        <w:ind w:right="479"/>
        <w:jc w:val="both"/>
      </w:pPr>
      <w:r>
        <w:rPr/>
        <w:t>A</w:t>
      </w:r>
      <w:r>
        <w:rPr>
          <w:spacing w:val="-5"/>
        </w:rPr>
        <w:t> </w:t>
      </w:r>
      <w:r>
        <w:rPr/>
        <w:t>bizottsági</w:t>
      </w:r>
      <w:r>
        <w:rPr>
          <w:spacing w:val="-5"/>
        </w:rPr>
        <w:t> </w:t>
      </w:r>
      <w:r>
        <w:rPr/>
        <w:t>dokumentumok</w:t>
      </w:r>
      <w:r>
        <w:rPr>
          <w:spacing w:val="-5"/>
        </w:rPr>
        <w:t> </w:t>
      </w:r>
      <w:r>
        <w:rPr/>
        <w:t>további</w:t>
      </w:r>
      <w:r>
        <w:rPr>
          <w:spacing w:val="-5"/>
        </w:rPr>
        <w:t> </w:t>
      </w:r>
      <w:r>
        <w:rPr/>
        <w:t>felhasználására</w:t>
      </w:r>
      <w:r>
        <w:rPr>
          <w:spacing w:val="-5"/>
        </w:rPr>
        <w:t> </w:t>
      </w:r>
      <w:r>
        <w:rPr/>
        <w:t>vonatkozó</w:t>
      </w:r>
      <w:r>
        <w:rPr>
          <w:spacing w:val="-5"/>
        </w:rPr>
        <w:t> </w:t>
      </w:r>
      <w:r>
        <w:rPr/>
        <w:t>szabályokat</w:t>
      </w:r>
      <w:r>
        <w:rPr>
          <w:spacing w:val="-5"/>
        </w:rPr>
        <w:t> </w:t>
      </w:r>
      <w:r>
        <w:rPr/>
        <w:t>az</w:t>
      </w:r>
      <w:r>
        <w:rPr>
          <w:spacing w:val="-5"/>
        </w:rPr>
        <w:t> </w:t>
      </w:r>
      <w:r>
        <w:rPr/>
        <w:t>erről</w:t>
      </w:r>
      <w:r>
        <w:rPr>
          <w:spacing w:val="-5"/>
        </w:rPr>
        <w:t> </w:t>
      </w:r>
      <w:r>
        <w:rPr/>
        <w:t>szóló,</w:t>
      </w:r>
      <w:r>
        <w:rPr>
          <w:spacing w:val="-5"/>
        </w:rPr>
        <w:t> </w:t>
      </w:r>
      <w:r>
        <w:rPr/>
        <w:t>2011.</w:t>
      </w:r>
      <w:r>
        <w:rPr>
          <w:spacing w:val="-5"/>
        </w:rPr>
        <w:t> </w:t>
      </w:r>
      <w:r>
        <w:rPr/>
        <w:t>December</w:t>
      </w:r>
      <w:r>
        <w:rPr>
          <w:spacing w:val="-5"/>
        </w:rPr>
        <w:t> </w:t>
      </w:r>
      <w:r>
        <w:rPr/>
        <w:t>12</w:t>
      </w:r>
      <w:r>
        <w:rPr>
          <w:rFonts w:ascii="Palatino Linotype" w:hAnsi="Palatino Linotype"/>
        </w:rPr>
        <w:t>‑</w:t>
      </w:r>
      <w:r>
        <w:rPr/>
        <w:t>i 2011/833/EU</w:t>
      </w:r>
      <w:r>
        <w:rPr>
          <w:spacing w:val="-4"/>
        </w:rPr>
        <w:t> </w:t>
      </w:r>
      <w:r>
        <w:rPr/>
        <w:t>bizottsági</w:t>
      </w:r>
      <w:r>
        <w:rPr>
          <w:spacing w:val="-4"/>
        </w:rPr>
        <w:t> </w:t>
      </w:r>
      <w:r>
        <w:rPr/>
        <w:t>határozat</w:t>
      </w:r>
      <w:r>
        <w:rPr>
          <w:spacing w:val="-4"/>
        </w:rPr>
        <w:t> </w:t>
      </w:r>
      <w:r>
        <w:rPr/>
        <w:t>(HL</w:t>
      </w:r>
      <w:r>
        <w:rPr>
          <w:spacing w:val="-4"/>
        </w:rPr>
        <w:t> </w:t>
      </w:r>
      <w:r>
        <w:rPr/>
        <w:t>L</w:t>
      </w:r>
      <w:r>
        <w:rPr>
          <w:spacing w:val="-4"/>
        </w:rPr>
        <w:t> </w:t>
      </w:r>
      <w:r>
        <w:rPr/>
        <w:t>330.,</w:t>
      </w:r>
      <w:r>
        <w:rPr>
          <w:spacing w:val="-4"/>
        </w:rPr>
        <w:t> </w:t>
      </w:r>
      <w:r>
        <w:rPr/>
        <w:t>2011.12.14.,</w:t>
      </w:r>
      <w:r>
        <w:rPr>
          <w:spacing w:val="-4"/>
        </w:rPr>
        <w:t> </w:t>
      </w:r>
      <w:r>
        <w:rPr/>
        <w:t>39.</w:t>
      </w:r>
      <w:r>
        <w:rPr>
          <w:spacing w:val="-4"/>
        </w:rPr>
        <w:t> </w:t>
      </w:r>
      <w:r>
        <w:rPr/>
        <w:t>o.,</w:t>
      </w:r>
      <w:r>
        <w:rPr>
          <w:spacing w:val="-4"/>
        </w:rPr>
        <w:t> </w:t>
      </w:r>
      <w:r>
        <w:rPr/>
        <w:t>ELI:</w:t>
      </w:r>
      <w:r>
        <w:rPr>
          <w:spacing w:val="-4"/>
        </w:rPr>
        <w:t> </w:t>
      </w:r>
      <w:hyperlink r:id="rId6">
        <w:r>
          <w:rPr>
            <w:color w:val="0000FF"/>
            <w:u w:val="single" w:color="0000FF"/>
          </w:rPr>
          <w:t>http://data.europa.eu/eli/dec/2011/833/oj</w:t>
        </w:r>
      </w:hyperlink>
      <w:r>
        <w:rPr>
          <w:u w:val="none"/>
        </w:rPr>
        <w:t>) </w:t>
      </w:r>
      <w:r>
        <w:rPr>
          <w:spacing w:val="-2"/>
          <w:u w:val="none"/>
        </w:rPr>
        <w:t>rögzíti.</w:t>
      </w:r>
    </w:p>
    <w:p>
      <w:pPr>
        <w:pStyle w:val="BodyText"/>
        <w:spacing w:line="244" w:lineRule="auto" w:before="106"/>
        <w:ind w:right="702"/>
      </w:pPr>
      <w:r>
        <w:rPr/>
        <w:t>Eltérő rendelkezés hiányában e dokumentum további felhasználása a Creative Commons Nevezd meg! 4.0 nemzetközi</w:t>
      </w:r>
      <w:r>
        <w:rPr>
          <w:spacing w:val="-7"/>
        </w:rPr>
        <w:t> </w:t>
      </w:r>
      <w:r>
        <w:rPr/>
        <w:t>(CC</w:t>
      </w:r>
      <w:r>
        <w:rPr>
          <w:spacing w:val="-7"/>
        </w:rPr>
        <w:t> </w:t>
      </w:r>
      <w:r>
        <w:rPr/>
        <w:t>BY</w:t>
      </w:r>
      <w:r>
        <w:rPr>
          <w:spacing w:val="-7"/>
        </w:rPr>
        <w:t> </w:t>
      </w:r>
      <w:r>
        <w:rPr/>
        <w:t>4.0)</w:t>
      </w:r>
      <w:r>
        <w:rPr>
          <w:spacing w:val="-7"/>
        </w:rPr>
        <w:t> </w:t>
      </w:r>
      <w:r>
        <w:rPr/>
        <w:t>licencnek</w:t>
      </w:r>
      <w:r>
        <w:rPr>
          <w:spacing w:val="-7"/>
        </w:rPr>
        <w:t> </w:t>
      </w:r>
      <w:r>
        <w:rPr/>
        <w:t>megfelelően</w:t>
      </w:r>
      <w:r>
        <w:rPr>
          <w:spacing w:val="-7"/>
        </w:rPr>
        <w:t> </w:t>
      </w:r>
      <w:r>
        <w:rPr/>
        <w:t>engedélyezett</w:t>
      </w:r>
      <w:r>
        <w:rPr>
          <w:spacing w:val="-7"/>
        </w:rPr>
        <w:t> </w:t>
      </w:r>
      <w:r>
        <w:rPr/>
        <w:t>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color w:val="0000FF"/>
          <w:u w:val="none"/>
        </w:rPr>
        <w:t> </w:t>
      </w:r>
      <w:hyperlink r:id="rId7">
        <w:r>
          <w:rPr>
            <w:color w:val="0000FF"/>
            <w:u w:val="single" w:color="0000FF"/>
          </w:rPr>
          <w:t>deed.hu</w:t>
        </w:r>
      </w:hyperlink>
      <w:r>
        <w:rPr>
          <w:u w:val="none"/>
        </w:rPr>
        <w:t>). Ez azt jelenti, hogy a további felhasználás a forrás megfelelő megnevezésével és az esetleges változtatások feltüntetésével megengedett.</w:t>
      </w:r>
    </w:p>
    <w:p>
      <w:pPr>
        <w:pStyle w:val="BodyText"/>
        <w:spacing w:before="74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right="702"/>
      </w:pPr>
      <w:r>
        <w:rPr/>
        <w:t>A nem az Európai Unió tulajdonában lévő elemek felhasználása vagy sokszorosítása érdekében közvetlenül a</w:t>
      </w:r>
      <w:r>
        <w:rPr>
          <w:spacing w:val="-4"/>
        </w:rPr>
        <w:t> </w:t>
      </w:r>
      <w:r>
        <w:rPr/>
        <w:t>szerzői</w:t>
      </w:r>
      <w:r>
        <w:rPr>
          <w:spacing w:val="-4"/>
        </w:rPr>
        <w:t> </w:t>
      </w:r>
      <w:r>
        <w:rPr/>
        <w:t>jog</w:t>
      </w:r>
      <w:r>
        <w:rPr>
          <w:spacing w:val="-4"/>
        </w:rPr>
        <w:t> </w:t>
      </w:r>
      <w:r>
        <w:rPr/>
        <w:t>tulajdonosához</w:t>
      </w:r>
      <w:r>
        <w:rPr>
          <w:spacing w:val="-4"/>
        </w:rPr>
        <w:t> </w:t>
      </w:r>
      <w:r>
        <w:rPr/>
        <w:t>kell</w:t>
      </w:r>
      <w:r>
        <w:rPr>
          <w:spacing w:val="-4"/>
        </w:rPr>
        <w:t> </w:t>
      </w:r>
      <w:r>
        <w:rPr/>
        <w:t>engedélyért</w:t>
      </w:r>
      <w:r>
        <w:rPr>
          <w:spacing w:val="-4"/>
        </w:rPr>
        <w:t> </w:t>
      </w:r>
      <w:r>
        <w:rPr/>
        <w:t>fordulni.</w:t>
      </w:r>
      <w:r>
        <w:rPr>
          <w:spacing w:val="-2"/>
        </w:rPr>
        <w:t> </w:t>
      </w:r>
      <w:r>
        <w:rPr/>
        <w:t>Az</w:t>
      </w:r>
      <w:r>
        <w:rPr>
          <w:spacing w:val="-4"/>
        </w:rPr>
        <w:t> </w:t>
      </w:r>
      <w:r>
        <w:rPr/>
        <w:t>Európai</w:t>
      </w:r>
      <w:r>
        <w:rPr>
          <w:spacing w:val="-4"/>
        </w:rPr>
        <w:t> </w:t>
      </w:r>
      <w:r>
        <w:rPr/>
        <w:t>Unió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következő</w:t>
      </w:r>
      <w:r>
        <w:rPr>
          <w:spacing w:val="-4"/>
        </w:rPr>
        <w:t> </w:t>
      </w:r>
      <w:r>
        <w:rPr/>
        <w:t>elemek</w:t>
      </w:r>
      <w:r>
        <w:rPr>
          <w:spacing w:val="-4"/>
        </w:rPr>
        <w:t> </w:t>
      </w:r>
      <w:r>
        <w:rPr/>
        <w:t>tekintetében</w:t>
      </w:r>
      <w:r>
        <w:rPr>
          <w:spacing w:val="-4"/>
        </w:rPr>
        <w:t> </w:t>
      </w:r>
      <w:r>
        <w:rPr/>
        <w:t>nem rendelkezik szerzői joggal: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8" w:after="0"/>
        <w:ind w:left="542" w:right="0" w:hanging="379"/>
        <w:jc w:val="left"/>
        <w:rPr>
          <w:sz w:val="20"/>
        </w:rPr>
      </w:pPr>
      <w:r>
        <w:rPr>
          <w:sz w:val="20"/>
        </w:rPr>
        <w:t>fedőlap,</w:t>
      </w:r>
      <w:r>
        <w:rPr>
          <w:spacing w:val="-7"/>
          <w:sz w:val="20"/>
        </w:rPr>
        <w:t> </w:t>
      </w:r>
      <w:r>
        <w:rPr>
          <w:sz w:val="20"/>
        </w:rPr>
        <w:t>[érintett</w:t>
      </w:r>
      <w:r>
        <w:rPr>
          <w:spacing w:val="-6"/>
          <w:sz w:val="20"/>
        </w:rPr>
        <w:t> </w:t>
      </w:r>
      <w:r>
        <w:rPr>
          <w:sz w:val="20"/>
        </w:rPr>
        <w:t>elem],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forrás:</w:t>
      </w:r>
      <w:r>
        <w:rPr>
          <w:i/>
          <w:spacing w:val="-5"/>
          <w:sz w:val="20"/>
        </w:rPr>
        <w:t> </w:t>
      </w:r>
      <w:r>
        <w:rPr>
          <w:sz w:val="20"/>
        </w:rPr>
        <w:t>pl.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xx.</w:t>
      </w:r>
      <w:r>
        <w:rPr>
          <w:spacing w:val="-9"/>
          <w:sz w:val="20"/>
        </w:rPr>
        <w:t> </w:t>
      </w:r>
      <w:r>
        <w:rPr>
          <w:sz w:val="20"/>
        </w:rPr>
        <w:t>o.,</w:t>
      </w:r>
      <w:r>
        <w:rPr>
          <w:spacing w:val="-6"/>
          <w:sz w:val="20"/>
        </w:rPr>
        <w:t> </w:t>
      </w:r>
      <w:r>
        <w:rPr>
          <w:sz w:val="20"/>
        </w:rPr>
        <w:t>[érintett</w:t>
      </w:r>
      <w:r>
        <w:rPr>
          <w:spacing w:val="-6"/>
          <w:sz w:val="20"/>
        </w:rPr>
        <w:t> </w:t>
      </w:r>
      <w:r>
        <w:rPr>
          <w:sz w:val="20"/>
        </w:rPr>
        <w:t>elem],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forrás:</w:t>
      </w:r>
      <w:r>
        <w:rPr>
          <w:i/>
          <w:spacing w:val="-5"/>
          <w:sz w:val="20"/>
        </w:rPr>
        <w:t> </w:t>
      </w:r>
      <w:r>
        <w:rPr>
          <w:sz w:val="20"/>
        </w:rPr>
        <w:t>pl.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[szerző].</w:t>
      </w:r>
      <w:r>
        <w:rPr>
          <w:spacing w:val="-6"/>
          <w:sz w:val="20"/>
        </w:rPr>
        <w:t> </w:t>
      </w:r>
      <w:r>
        <w:rPr>
          <w:sz w:val="20"/>
        </w:rPr>
        <w:t>Minden</w:t>
      </w:r>
      <w:r>
        <w:rPr>
          <w:spacing w:val="-6"/>
          <w:sz w:val="20"/>
        </w:rPr>
        <w:t> </w:t>
      </w:r>
      <w:r>
        <w:rPr>
          <w:sz w:val="20"/>
        </w:rPr>
        <w:t>jog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fenntartva;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xx.</w:t>
      </w:r>
      <w:r>
        <w:rPr>
          <w:spacing w:val="-7"/>
          <w:sz w:val="20"/>
        </w:rPr>
        <w:t> </w:t>
      </w:r>
      <w:r>
        <w:rPr>
          <w:sz w:val="20"/>
        </w:rPr>
        <w:t>o.,</w:t>
      </w:r>
      <w:r>
        <w:rPr>
          <w:spacing w:val="-4"/>
          <w:sz w:val="20"/>
        </w:rPr>
        <w:t> </w:t>
      </w:r>
      <w:r>
        <w:rPr>
          <w:sz w:val="20"/>
        </w:rPr>
        <w:t>[érintett</w:t>
      </w:r>
      <w:r>
        <w:rPr>
          <w:spacing w:val="-4"/>
          <w:sz w:val="20"/>
        </w:rPr>
        <w:t> </w:t>
      </w:r>
      <w:r>
        <w:rPr>
          <w:sz w:val="20"/>
        </w:rPr>
        <w:t>elem],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forrás:</w:t>
      </w:r>
      <w:r>
        <w:rPr>
          <w:i/>
          <w:spacing w:val="-3"/>
          <w:sz w:val="20"/>
        </w:rPr>
        <w:t> </w:t>
      </w:r>
      <w:r>
        <w:rPr>
          <w:sz w:val="20"/>
        </w:rPr>
        <w:t>pl.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[szerző],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</w:t>
      </w:r>
      <w:r>
        <w:rPr>
          <w:spacing w:val="-4"/>
          <w:sz w:val="20"/>
        </w:rPr>
        <w:t> </w:t>
      </w:r>
      <w:r>
        <w:rPr>
          <w:sz w:val="20"/>
        </w:rPr>
        <w:t>licenc</w:t>
      </w:r>
      <w:r>
        <w:rPr>
          <w:spacing w:val="-4"/>
          <w:sz w:val="20"/>
        </w:rPr>
        <w:t> </w:t>
      </w:r>
      <w:r>
        <w:rPr>
          <w:sz w:val="20"/>
        </w:rPr>
        <w:t>alá</w:t>
      </w:r>
      <w:r>
        <w:rPr>
          <w:spacing w:val="-4"/>
          <w:sz w:val="20"/>
        </w:rPr>
        <w:t> </w:t>
      </w:r>
      <w:r>
        <w:rPr>
          <w:sz w:val="20"/>
        </w:rPr>
        <w:t>tartozik</w:t>
      </w:r>
      <w:r>
        <w:rPr>
          <w:spacing w:val="-4"/>
          <w:sz w:val="20"/>
        </w:rPr>
        <w:t> </w:t>
      </w:r>
      <w:r>
        <w:rPr>
          <w:sz w:val="20"/>
        </w:rPr>
        <w:t>[+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licencre</w:t>
      </w:r>
      <w:r>
        <w:rPr>
          <w:spacing w:val="-4"/>
          <w:sz w:val="20"/>
        </w:rPr>
        <w:t> </w:t>
      </w:r>
      <w:r>
        <w:rPr>
          <w:sz w:val="20"/>
        </w:rPr>
        <w:t>mutató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link];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[illusztráció/fénykép/stb.],</w:t>
      </w:r>
      <w:r>
        <w:rPr>
          <w:spacing w:val="-7"/>
          <w:sz w:val="20"/>
        </w:rPr>
        <w:t> </w:t>
      </w:r>
      <w:r>
        <w:rPr>
          <w:sz w:val="20"/>
        </w:rPr>
        <w:t>xx.</w:t>
      </w:r>
      <w:r>
        <w:rPr>
          <w:spacing w:val="-7"/>
          <w:sz w:val="20"/>
        </w:rPr>
        <w:t> </w:t>
      </w:r>
      <w:r>
        <w:rPr>
          <w:sz w:val="20"/>
        </w:rPr>
        <w:t>o.,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[az</w:t>
      </w:r>
      <w:r>
        <w:rPr>
          <w:spacing w:val="-6"/>
          <w:sz w:val="20"/>
        </w:rPr>
        <w:t> </w:t>
      </w:r>
      <w:r>
        <w:rPr>
          <w:sz w:val="20"/>
        </w:rPr>
        <w:t>alkotó</w:t>
      </w:r>
      <w:r>
        <w:rPr>
          <w:spacing w:val="-7"/>
          <w:sz w:val="20"/>
        </w:rPr>
        <w:t> </w:t>
      </w:r>
      <w:r>
        <w:rPr>
          <w:sz w:val="20"/>
        </w:rPr>
        <w:t>neve],</w:t>
      </w:r>
      <w:r>
        <w:rPr>
          <w:spacing w:val="-7"/>
          <w:sz w:val="20"/>
        </w:rPr>
        <w:t> </w:t>
      </w:r>
      <w:r>
        <w:rPr>
          <w:sz w:val="20"/>
        </w:rPr>
        <w:t>[évszám].</w:t>
      </w:r>
      <w:r>
        <w:rPr>
          <w:spacing w:val="-6"/>
          <w:sz w:val="20"/>
        </w:rPr>
        <w:t> </w:t>
      </w:r>
      <w:r>
        <w:rPr>
          <w:sz w:val="20"/>
        </w:rPr>
        <w:t>Minden</w:t>
      </w:r>
      <w:r>
        <w:rPr>
          <w:spacing w:val="-7"/>
          <w:sz w:val="20"/>
        </w:rPr>
        <w:t> </w:t>
      </w:r>
      <w:r>
        <w:rPr>
          <w:sz w:val="20"/>
        </w:rPr>
        <w:t>jog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fenntartva.</w:t>
      </w:r>
    </w:p>
    <w:p>
      <w:pPr>
        <w:pStyle w:val="BodyText"/>
        <w:spacing w:before="80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right="750"/>
      </w:pPr>
      <w:r>
        <w:rPr/>
        <w:t>A</w:t>
      </w:r>
      <w:r>
        <w:rPr>
          <w:spacing w:val="-4"/>
        </w:rPr>
        <w:t> </w:t>
      </w:r>
      <w:r>
        <w:rPr/>
        <w:t>nem</w:t>
      </w:r>
      <w:r>
        <w:rPr>
          <w:spacing w:val="-4"/>
        </w:rPr>
        <w:t> </w:t>
      </w:r>
      <w:r>
        <w:rPr/>
        <w:t>az</w:t>
      </w:r>
      <w:r>
        <w:rPr>
          <w:spacing w:val="-4"/>
        </w:rPr>
        <w:t> </w:t>
      </w:r>
      <w:r>
        <w:rPr/>
        <w:t>Európai</w:t>
      </w:r>
      <w:r>
        <w:rPr>
          <w:spacing w:val="-4"/>
        </w:rPr>
        <w:t> </w:t>
      </w:r>
      <w:r>
        <w:rPr/>
        <w:t>Unió</w:t>
      </w:r>
      <w:r>
        <w:rPr>
          <w:spacing w:val="-4"/>
        </w:rPr>
        <w:t> </w:t>
      </w:r>
      <w:r>
        <w:rPr/>
        <w:t>tulajdonában</w:t>
      </w:r>
      <w:r>
        <w:rPr>
          <w:spacing w:val="-4"/>
        </w:rPr>
        <w:t> </w:t>
      </w:r>
      <w:r>
        <w:rPr/>
        <w:t>lévő</w:t>
      </w:r>
      <w:r>
        <w:rPr>
          <w:spacing w:val="-4"/>
        </w:rPr>
        <w:t> </w:t>
      </w:r>
      <w:r>
        <w:rPr/>
        <w:t>elemek</w:t>
      </w:r>
      <w:r>
        <w:rPr>
          <w:spacing w:val="-4"/>
        </w:rPr>
        <w:t> </w:t>
      </w:r>
      <w:r>
        <w:rPr/>
        <w:t>felhasználása</w:t>
      </w:r>
      <w:r>
        <w:rPr>
          <w:spacing w:val="-4"/>
        </w:rPr>
        <w:t> </w:t>
      </w:r>
      <w:r>
        <w:rPr/>
        <w:t>vagy</w:t>
      </w:r>
      <w:r>
        <w:rPr>
          <w:spacing w:val="-4"/>
        </w:rPr>
        <w:t> </w:t>
      </w:r>
      <w:r>
        <w:rPr/>
        <w:t>sokszorosítása</w:t>
      </w:r>
      <w:r>
        <w:rPr>
          <w:spacing w:val="-4"/>
        </w:rPr>
        <w:t> </w:t>
      </w:r>
      <w:r>
        <w:rPr/>
        <w:t>érdekében</w:t>
      </w:r>
      <w:r>
        <w:rPr>
          <w:spacing w:val="-4"/>
        </w:rPr>
        <w:t> </w:t>
      </w:r>
      <w:r>
        <w:rPr/>
        <w:t>közvetlenül a szerzői jog tulajdonosához kell engedélyért fordulni.</w:t>
      </w:r>
    </w:p>
    <w:p>
      <w:pPr>
        <w:pStyle w:val="BodyText"/>
        <w:spacing w:before="128"/>
        <w:ind w:left="0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08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503999</wp:posOffset>
                </wp:positionH>
                <wp:positionV relativeFrom="paragraph">
                  <wp:posOffset>230183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8.124718pt;width:146.809998pt;height:.262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79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0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813" w:right="111" w:firstLine="0"/>
        <w:jc w:val="left"/>
        <w:rPr>
          <w:sz w:val="18"/>
        </w:rPr>
      </w:pPr>
      <w:r>
        <w:rPr>
          <w:sz w:val="18"/>
        </w:rPr>
        <w:t>A további felhasználás engedélyezett, amennyiben a forrást feltüntetik, és a dokumentum eredeti jelentése és üzenete nem torzul. Az Európai Bizottság nem tehető felelőssé a kiadvány további felhasználásából eredő következményekért.</w:t>
      </w:r>
      <w:r>
        <w:rPr>
          <w:sz w:val="18"/>
        </w:rPr>
        <w:t> Az Európai Bizottság dokumentumainak további felhasználására vonatkozó politikát a bizottsági dokumentumok további felhasználásáról</w:t>
      </w:r>
      <w:r>
        <w:rPr>
          <w:spacing w:val="-6"/>
          <w:sz w:val="18"/>
        </w:rPr>
        <w:t> </w:t>
      </w:r>
      <w:r>
        <w:rPr>
          <w:sz w:val="18"/>
        </w:rPr>
        <w:t>szóló,</w:t>
      </w:r>
      <w:r>
        <w:rPr>
          <w:spacing w:val="-6"/>
          <w:sz w:val="18"/>
        </w:rPr>
        <w:t> </w:t>
      </w:r>
      <w:r>
        <w:rPr>
          <w:sz w:val="18"/>
        </w:rPr>
        <w:t>2011.</w:t>
      </w:r>
      <w:r>
        <w:rPr>
          <w:spacing w:val="-6"/>
          <w:sz w:val="18"/>
        </w:rPr>
        <w:t> </w:t>
      </w:r>
      <w:r>
        <w:rPr>
          <w:sz w:val="18"/>
        </w:rPr>
        <w:t>december</w:t>
      </w:r>
      <w:r>
        <w:rPr>
          <w:spacing w:val="-6"/>
          <w:sz w:val="18"/>
        </w:rPr>
        <w:t> </w:t>
      </w:r>
      <w:r>
        <w:rPr>
          <w:sz w:val="18"/>
        </w:rPr>
        <w:t>12-i</w:t>
      </w:r>
      <w:r>
        <w:rPr>
          <w:spacing w:val="-6"/>
          <w:sz w:val="18"/>
        </w:rPr>
        <w:t> </w:t>
      </w:r>
      <w:r>
        <w:rPr>
          <w:sz w:val="18"/>
        </w:rPr>
        <w:t>2011/833/EU</w:t>
      </w:r>
      <w:r>
        <w:rPr>
          <w:spacing w:val="-6"/>
          <w:sz w:val="18"/>
        </w:rPr>
        <w:t> </w:t>
      </w:r>
      <w:r>
        <w:rPr>
          <w:sz w:val="18"/>
        </w:rPr>
        <w:t>bizottsági</w:t>
      </w:r>
      <w:r>
        <w:rPr>
          <w:spacing w:val="-6"/>
          <w:sz w:val="18"/>
        </w:rPr>
        <w:t> </w:t>
      </w:r>
      <w:r>
        <w:rPr>
          <w:sz w:val="18"/>
        </w:rPr>
        <w:t>határozat</w:t>
      </w:r>
      <w:r>
        <w:rPr>
          <w:spacing w:val="-6"/>
          <w:sz w:val="18"/>
        </w:rPr>
        <w:t> </w:t>
      </w:r>
      <w:r>
        <w:rPr>
          <w:sz w:val="18"/>
        </w:rPr>
        <w:t>(HL</w:t>
      </w:r>
      <w:r>
        <w:rPr>
          <w:spacing w:val="-6"/>
          <w:sz w:val="18"/>
        </w:rPr>
        <w:t> </w:t>
      </w:r>
      <w:r>
        <w:rPr>
          <w:sz w:val="18"/>
        </w:rPr>
        <w:t>L</w:t>
      </w:r>
      <w:r>
        <w:rPr>
          <w:spacing w:val="-6"/>
          <w:sz w:val="18"/>
        </w:rPr>
        <w:t> </w:t>
      </w:r>
      <w:r>
        <w:rPr>
          <w:sz w:val="18"/>
        </w:rPr>
        <w:t>330.,</w:t>
      </w:r>
      <w:r>
        <w:rPr>
          <w:spacing w:val="-6"/>
          <w:sz w:val="18"/>
        </w:rPr>
        <w:t> </w:t>
      </w:r>
      <w:r>
        <w:rPr>
          <w:sz w:val="18"/>
        </w:rPr>
        <w:t>2011.12.14.,</w:t>
      </w:r>
      <w:r>
        <w:rPr>
          <w:spacing w:val="-6"/>
          <w:sz w:val="18"/>
        </w:rPr>
        <w:t> </w:t>
      </w:r>
      <w:r>
        <w:rPr>
          <w:sz w:val="18"/>
        </w:rPr>
        <w:t>39.</w:t>
      </w:r>
      <w:r>
        <w:rPr>
          <w:spacing w:val="-6"/>
          <w:sz w:val="18"/>
        </w:rPr>
        <w:t> </w:t>
      </w:r>
      <w:r>
        <w:rPr>
          <w:sz w:val="18"/>
        </w:rPr>
        <w:t>o.,</w:t>
      </w:r>
      <w:r>
        <w:rPr>
          <w:spacing w:val="-6"/>
          <w:sz w:val="18"/>
        </w:rPr>
        <w:t> </w:t>
      </w:r>
      <w:r>
        <w:rPr>
          <w:sz w:val="18"/>
        </w:rPr>
        <w:t>ELI:</w:t>
      </w:r>
      <w:r>
        <w:rPr>
          <w:spacing w:val="-6"/>
          <w:sz w:val="18"/>
        </w:rPr>
        <w:t> </w:t>
      </w:r>
      <w:hyperlink r:id="rId6">
        <w:r>
          <w:rPr>
            <w:color w:val="0000FF"/>
            <w:sz w:val="18"/>
            <w:u w:val="single" w:color="0000FF"/>
          </w:rPr>
          <w:t>http://</w:t>
        </w:r>
      </w:hyperlink>
      <w:r>
        <w:rPr>
          <w:color w:val="0000FF"/>
          <w:sz w:val="18"/>
          <w:u w:val="none"/>
        </w:rPr>
        <w:t> </w:t>
      </w:r>
      <w:hyperlink r:id="rId6">
        <w:r>
          <w:rPr>
            <w:color w:val="0000FF"/>
            <w:sz w:val="18"/>
            <w:u w:val="single" w:color="0000FF"/>
          </w:rPr>
          <w:t>data.europa.eu/eli/dec/2011/833/o</w:t>
        </w:r>
        <w:r>
          <w:rPr>
            <w:color w:val="0000FF"/>
            <w:sz w:val="18"/>
            <w:u w:val="none"/>
          </w:rPr>
          <w:t>j</w:t>
        </w:r>
      </w:hyperlink>
      <w:r>
        <w:rPr>
          <w:sz w:val="18"/>
          <w:u w:val="none"/>
        </w:rPr>
        <w:t>) hajtja végre.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40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Ára</w:t>
      </w:r>
      <w:r>
        <w:rPr>
          <w:spacing w:val="-6"/>
        </w:rPr>
        <w:t> </w:t>
      </w:r>
      <w:r>
        <w:rPr/>
        <w:t>Luxemburgban</w:t>
      </w:r>
      <w:r>
        <w:rPr>
          <w:spacing w:val="-6"/>
        </w:rPr>
        <w:t> </w:t>
      </w:r>
      <w:r>
        <w:rPr/>
        <w:t>(héa</w:t>
      </w:r>
      <w:r>
        <w:rPr>
          <w:spacing w:val="-5"/>
        </w:rPr>
        <w:t> </w:t>
      </w:r>
      <w:r>
        <w:rPr/>
        <w:t>nélkül):</w:t>
      </w:r>
      <w:r>
        <w:rPr>
          <w:spacing w:val="-6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spacing w:after="0"/>
        <w:sectPr>
          <w:pgSz w:w="11910" w:h="16840"/>
          <w:pgMar w:top="360" w:bottom="280" w:left="640" w:right="740"/>
        </w:sectPr>
      </w:pPr>
    </w:p>
    <w:p>
      <w:pPr>
        <w:pStyle w:val="Heading1"/>
        <w:spacing w:before="73"/>
      </w:pPr>
      <w:r>
        <w:rPr/>
        <w:t>Kapcsolatba</w:t>
      </w:r>
      <w:r>
        <w:rPr>
          <w:spacing w:val="-9"/>
        </w:rPr>
        <w:t> </w:t>
      </w:r>
      <w:r>
        <w:rPr/>
        <w:t>szeretne</w:t>
      </w:r>
      <w:r>
        <w:rPr>
          <w:spacing w:val="-7"/>
        </w:rPr>
        <w:t> </w:t>
      </w:r>
      <w:r>
        <w:rPr/>
        <w:t>lépni</w:t>
      </w:r>
      <w:r>
        <w:rPr>
          <w:spacing w:val="-7"/>
        </w:rPr>
        <w:t> </w:t>
      </w:r>
      <w:r>
        <w:rPr/>
        <w:t>az</w:t>
      </w:r>
      <w:r>
        <w:rPr>
          <w:spacing w:val="-7"/>
        </w:rPr>
        <w:t> </w:t>
      </w:r>
      <w:r>
        <w:rPr/>
        <w:t>EU-</w:t>
      </w:r>
      <w:r>
        <w:rPr>
          <w:spacing w:val="-4"/>
        </w:rPr>
        <w:t>val?</w:t>
      </w:r>
    </w:p>
    <w:p>
      <w:pPr>
        <w:pStyle w:val="Heading2"/>
        <w:spacing w:before="155"/>
      </w:pPr>
      <w:r>
        <w:rPr>
          <w:spacing w:val="-2"/>
        </w:rPr>
        <w:t>Személyesen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Az</w:t>
      </w:r>
      <w:r>
        <w:rPr>
          <w:spacing w:val="-4"/>
          <w:sz w:val="22"/>
        </w:rPr>
        <w:t> </w:t>
      </w:r>
      <w:r>
        <w:rPr>
          <w:sz w:val="22"/>
        </w:rPr>
        <w:t>Európai</w:t>
      </w:r>
      <w:r>
        <w:rPr>
          <w:spacing w:val="-4"/>
          <w:sz w:val="22"/>
        </w:rPr>
        <w:t> </w:t>
      </w:r>
      <w:r>
        <w:rPr>
          <w:sz w:val="22"/>
        </w:rPr>
        <w:t>Unió</w:t>
      </w:r>
      <w:r>
        <w:rPr>
          <w:spacing w:val="-4"/>
          <w:sz w:val="22"/>
        </w:rPr>
        <w:t> </w:t>
      </w:r>
      <w:r>
        <w:rPr>
          <w:sz w:val="22"/>
        </w:rPr>
        <w:t>területén</w:t>
      </w:r>
      <w:r>
        <w:rPr>
          <w:spacing w:val="-4"/>
          <w:sz w:val="22"/>
        </w:rPr>
        <w:t> </w:t>
      </w:r>
      <w:r>
        <w:rPr>
          <w:sz w:val="22"/>
        </w:rPr>
        <w:t>több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központ</w:t>
      </w:r>
      <w:r>
        <w:rPr>
          <w:spacing w:val="-4"/>
          <w:sz w:val="22"/>
        </w:rPr>
        <w:t> </w:t>
      </w:r>
      <w:r>
        <w:rPr>
          <w:sz w:val="22"/>
        </w:rPr>
        <w:t>is</w:t>
      </w:r>
      <w:r>
        <w:rPr>
          <w:spacing w:val="-4"/>
          <w:sz w:val="22"/>
        </w:rPr>
        <w:t> </w:t>
      </w:r>
      <w:r>
        <w:rPr>
          <w:sz w:val="22"/>
        </w:rPr>
        <w:t>működik.</w:t>
      </w:r>
      <w:r>
        <w:rPr>
          <w:spacing w:val="-4"/>
          <w:sz w:val="22"/>
        </w:rPr>
        <w:t> </w:t>
      </w:r>
      <w:r>
        <w:rPr>
          <w:sz w:val="22"/>
        </w:rPr>
        <w:t>Keresse</w:t>
      </w:r>
      <w:r>
        <w:rPr>
          <w:spacing w:val="-4"/>
          <w:sz w:val="22"/>
        </w:rPr>
        <w:t> </w:t>
      </w:r>
      <w:r>
        <w:rPr>
          <w:sz w:val="22"/>
        </w:rPr>
        <w:t>meg</w:t>
      </w:r>
      <w:r>
        <w:rPr>
          <w:spacing w:val="-4"/>
          <w:sz w:val="22"/>
        </w:rPr>
        <w:t> </w:t>
      </w:r>
      <w:r>
        <w:rPr>
          <w:sz w:val="22"/>
        </w:rPr>
        <w:t>online</w:t>
      </w:r>
      <w:r>
        <w:rPr>
          <w:spacing w:val="-4"/>
          <w:sz w:val="22"/>
        </w:rPr>
        <w:t> </w:t>
      </w:r>
      <w:r>
        <w:rPr>
          <w:sz w:val="22"/>
        </w:rPr>
        <w:t>az</w:t>
      </w:r>
      <w:r>
        <w:rPr>
          <w:spacing w:val="-4"/>
          <w:sz w:val="22"/>
        </w:rPr>
        <w:t> </w:t>
      </w:r>
      <w:r>
        <w:rPr>
          <w:sz w:val="22"/>
        </w:rPr>
        <w:t>Önhöz legközelebb eső központot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european-union.europa.eu/contact-eu/meet-us_hu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Telefonon</w:t>
      </w:r>
      <w:r>
        <w:rPr>
          <w:spacing w:val="-14"/>
        </w:rPr>
        <w:t> </w:t>
      </w:r>
      <w:r>
        <w:rPr/>
        <w:t>vagy</w:t>
      </w:r>
      <w:r>
        <w:rPr>
          <w:spacing w:val="-14"/>
        </w:rPr>
        <w:t> </w:t>
      </w:r>
      <w:r>
        <w:rPr>
          <w:spacing w:val="-2"/>
        </w:rPr>
        <w:t>írásban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központok</w:t>
      </w:r>
      <w:r>
        <w:rPr>
          <w:spacing w:val="-4"/>
          <w:sz w:val="22"/>
        </w:rPr>
        <w:t> </w:t>
      </w:r>
      <w:r>
        <w:rPr>
          <w:sz w:val="22"/>
        </w:rPr>
        <w:t>feladata,</w:t>
      </w:r>
      <w:r>
        <w:rPr>
          <w:spacing w:val="-4"/>
          <w:sz w:val="22"/>
        </w:rPr>
        <w:t> </w:t>
      </w:r>
      <w:r>
        <w:rPr>
          <w:sz w:val="22"/>
        </w:rPr>
        <w:t>hogy</w:t>
      </w:r>
      <w:r>
        <w:rPr>
          <w:spacing w:val="-4"/>
          <w:sz w:val="22"/>
        </w:rPr>
        <w:t> </w:t>
      </w:r>
      <w:r>
        <w:rPr>
          <w:sz w:val="22"/>
        </w:rPr>
        <w:t>megválaszolják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polgárok</w:t>
      </w:r>
      <w:r>
        <w:rPr>
          <w:spacing w:val="-4"/>
          <w:sz w:val="22"/>
        </w:rPr>
        <w:t> </w:t>
      </w:r>
      <w:r>
        <w:rPr>
          <w:sz w:val="22"/>
        </w:rPr>
        <w:t>Európai</w:t>
      </w:r>
      <w:r>
        <w:rPr>
          <w:spacing w:val="-4"/>
          <w:sz w:val="22"/>
        </w:rPr>
        <w:t> </w:t>
      </w:r>
      <w:r>
        <w:rPr>
          <w:sz w:val="22"/>
        </w:rPr>
        <w:t>Unióval</w:t>
      </w:r>
      <w:r>
        <w:rPr>
          <w:spacing w:val="-4"/>
          <w:sz w:val="22"/>
        </w:rPr>
        <w:t> </w:t>
      </w:r>
      <w:r>
        <w:rPr>
          <w:sz w:val="22"/>
        </w:rPr>
        <w:t>kapcsolatos kérdéseit. Vegye igénybe a szolgáltatást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13" w:after="0"/>
        <w:ind w:left="827" w:right="1661" w:hanging="400"/>
        <w:jc w:val="left"/>
        <w:rPr>
          <w:sz w:val="22"/>
        </w:rPr>
      </w:pPr>
      <w:r>
        <w:rPr>
          <w:sz w:val="22"/>
        </w:rPr>
        <w:t>az</w:t>
      </w:r>
      <w:r>
        <w:rPr>
          <w:spacing w:val="-5"/>
          <w:sz w:val="22"/>
        </w:rPr>
        <w:t> </w:t>
      </w:r>
      <w:r>
        <w:rPr>
          <w:sz w:val="22"/>
        </w:rPr>
        <w:t>ingyenesen</w:t>
      </w:r>
      <w:r>
        <w:rPr>
          <w:spacing w:val="-5"/>
          <w:sz w:val="22"/>
        </w:rPr>
        <w:t> </w:t>
      </w:r>
      <w:r>
        <w:rPr>
          <w:sz w:val="22"/>
        </w:rPr>
        <w:t>hívható</w:t>
      </w:r>
      <w:r>
        <w:rPr>
          <w:spacing w:val="-5"/>
          <w:sz w:val="22"/>
        </w:rPr>
        <w:t> </w:t>
      </w:r>
      <w:r>
        <w:rPr>
          <w:sz w:val="22"/>
        </w:rPr>
        <w:t>telefonszámon: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(bizonyos</w:t>
      </w:r>
      <w:r>
        <w:rPr>
          <w:spacing w:val="-5"/>
          <w:sz w:val="22"/>
        </w:rPr>
        <w:t> </w:t>
      </w:r>
      <w:r>
        <w:rPr>
          <w:sz w:val="22"/>
        </w:rPr>
        <w:t>szolgáltatók számíthatnak fel díjat a hívásért),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a</w:t>
      </w:r>
      <w:r>
        <w:rPr>
          <w:spacing w:val="-6"/>
          <w:sz w:val="22"/>
        </w:rPr>
        <w:t> </w:t>
      </w:r>
      <w:r>
        <w:rPr>
          <w:sz w:val="22"/>
        </w:rPr>
        <w:t>rendes</w:t>
      </w:r>
      <w:r>
        <w:rPr>
          <w:spacing w:val="-6"/>
          <w:sz w:val="22"/>
        </w:rPr>
        <w:t> </w:t>
      </w:r>
      <w:r>
        <w:rPr>
          <w:sz w:val="22"/>
        </w:rPr>
        <w:t>díjszabású</w:t>
      </w:r>
      <w:r>
        <w:rPr>
          <w:spacing w:val="-6"/>
          <w:sz w:val="22"/>
        </w:rPr>
        <w:t> </w:t>
      </w:r>
      <w:r>
        <w:rPr>
          <w:sz w:val="22"/>
        </w:rPr>
        <w:t>telefonszámon:</w:t>
      </w:r>
      <w:r>
        <w:rPr>
          <w:spacing w:val="-6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pacing w:val="-2"/>
          <w:sz w:val="22"/>
        </w:rPr>
        <w:t>az</w:t>
      </w:r>
      <w:r>
        <w:rPr>
          <w:spacing w:val="21"/>
          <w:sz w:val="22"/>
        </w:rPr>
        <w:t> </w:t>
      </w:r>
      <w:r>
        <w:rPr>
          <w:spacing w:val="-2"/>
          <w:sz w:val="22"/>
        </w:rPr>
        <w:t>alábbi</w:t>
      </w:r>
      <w:r>
        <w:rPr>
          <w:spacing w:val="21"/>
          <w:sz w:val="22"/>
        </w:rPr>
        <w:t> </w:t>
      </w:r>
      <w:r>
        <w:rPr>
          <w:spacing w:val="-2"/>
          <w:sz w:val="22"/>
        </w:rPr>
        <w:t>nyomtatvány</w:t>
      </w:r>
      <w:r>
        <w:rPr>
          <w:spacing w:val="22"/>
          <w:sz w:val="22"/>
        </w:rPr>
        <w:t> </w:t>
      </w:r>
      <w:r>
        <w:rPr>
          <w:spacing w:val="-2"/>
          <w:sz w:val="22"/>
        </w:rPr>
        <w:t>használatával:</w:t>
      </w:r>
      <w:r>
        <w:rPr>
          <w:spacing w:val="23"/>
          <w:sz w:val="22"/>
        </w:rPr>
        <w:t> </w:t>
      </w:r>
      <w:hyperlink r:id="rId11">
        <w:r>
          <w:rPr>
            <w:color w:val="0000FF"/>
            <w:spacing w:val="-2"/>
            <w:sz w:val="22"/>
            <w:u w:val="single" w:color="0000FF"/>
          </w:rPr>
          <w:t>european-union.europa.eu/contact-eu/write-us_hu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Információkat</w:t>
      </w:r>
      <w:r>
        <w:rPr>
          <w:spacing w:val="-4"/>
        </w:rPr>
        <w:t> </w:t>
      </w:r>
      <w:r>
        <w:rPr/>
        <w:t>keres</w:t>
      </w:r>
      <w:r>
        <w:rPr>
          <w:spacing w:val="-3"/>
        </w:rPr>
        <w:t> </w:t>
      </w:r>
      <w:r>
        <w:rPr/>
        <w:t>az</w:t>
      </w:r>
      <w:r>
        <w:rPr>
          <w:spacing w:val="-3"/>
        </w:rPr>
        <w:t> </w:t>
      </w:r>
      <w:r>
        <w:rPr/>
        <w:t>EU-</w:t>
      </w:r>
      <w:r>
        <w:rPr>
          <w:spacing w:val="-4"/>
        </w:rPr>
        <w:t>ról?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437" w:right="965" w:firstLine="0"/>
        <w:jc w:val="left"/>
        <w:rPr>
          <w:sz w:val="22"/>
        </w:rPr>
      </w:pPr>
      <w:r>
        <w:rPr>
          <w:sz w:val="22"/>
        </w:rPr>
        <w:t>Az</w:t>
      </w:r>
      <w:r>
        <w:rPr>
          <w:spacing w:val="-5"/>
          <w:sz w:val="22"/>
        </w:rPr>
        <w:t> </w:t>
      </w:r>
      <w:r>
        <w:rPr>
          <w:sz w:val="22"/>
        </w:rPr>
        <w:t>EUROPA</w:t>
      </w:r>
      <w:r>
        <w:rPr>
          <w:spacing w:val="-5"/>
          <w:sz w:val="22"/>
        </w:rPr>
        <w:t> </w:t>
      </w:r>
      <w:r>
        <w:rPr>
          <w:sz w:val="22"/>
        </w:rPr>
        <w:t>portál</w:t>
      </w:r>
      <w:r>
        <w:rPr>
          <w:spacing w:val="-5"/>
          <w:sz w:val="22"/>
        </w:rPr>
        <w:t> </w:t>
      </w:r>
      <w:r>
        <w:rPr>
          <w:sz w:val="22"/>
        </w:rPr>
        <w:t>tájékoztatással</w:t>
      </w:r>
      <w:r>
        <w:rPr>
          <w:spacing w:val="-5"/>
          <w:sz w:val="22"/>
        </w:rPr>
        <w:t> </w:t>
      </w:r>
      <w:r>
        <w:rPr>
          <w:sz w:val="22"/>
        </w:rPr>
        <w:t>szolgál</w:t>
      </w:r>
      <w:r>
        <w:rPr>
          <w:spacing w:val="-5"/>
          <w:sz w:val="22"/>
        </w:rPr>
        <w:t> </w:t>
      </w:r>
      <w:r>
        <w:rPr>
          <w:sz w:val="22"/>
        </w:rPr>
        <w:t>az</w:t>
      </w:r>
      <w:r>
        <w:rPr>
          <w:spacing w:val="-5"/>
          <w:sz w:val="22"/>
        </w:rPr>
        <w:t> </w:t>
      </w:r>
      <w:r>
        <w:rPr>
          <w:sz w:val="22"/>
        </w:rPr>
        <w:t>Európai</w:t>
      </w:r>
      <w:r>
        <w:rPr>
          <w:spacing w:val="-5"/>
          <w:sz w:val="22"/>
        </w:rPr>
        <w:t> </w:t>
      </w:r>
      <w:r>
        <w:rPr>
          <w:sz w:val="22"/>
        </w:rPr>
        <w:t>Unióról</w:t>
      </w:r>
      <w:r>
        <w:rPr>
          <w:spacing w:val="-5"/>
          <w:sz w:val="22"/>
        </w:rPr>
        <w:t> </w:t>
      </w:r>
      <w:r>
        <w:rPr>
          <w:sz w:val="22"/>
        </w:rPr>
        <w:t>az</w:t>
      </w:r>
      <w:r>
        <w:rPr>
          <w:spacing w:val="-5"/>
          <w:sz w:val="22"/>
        </w:rPr>
        <w:t> </w:t>
      </w:r>
      <w:r>
        <w:rPr>
          <w:sz w:val="22"/>
        </w:rPr>
        <w:t>EU</w:t>
      </w:r>
      <w:r>
        <w:rPr>
          <w:spacing w:val="-5"/>
          <w:sz w:val="22"/>
        </w:rPr>
        <w:t> </w:t>
      </w:r>
      <w:r>
        <w:rPr>
          <w:sz w:val="22"/>
        </w:rPr>
        <w:t>összes</w:t>
      </w:r>
      <w:r>
        <w:rPr>
          <w:spacing w:val="-5"/>
          <w:sz w:val="22"/>
        </w:rPr>
        <w:t> </w:t>
      </w:r>
      <w:r>
        <w:rPr>
          <w:sz w:val="22"/>
        </w:rPr>
        <w:t>hivatalos</w:t>
      </w:r>
      <w:r>
        <w:rPr>
          <w:spacing w:val="-5"/>
          <w:sz w:val="22"/>
        </w:rPr>
        <w:t> </w:t>
      </w:r>
      <w:r>
        <w:rPr>
          <w:sz w:val="22"/>
        </w:rPr>
        <w:t>nyelvén </w:t>
      </w:r>
      <w:r>
        <w:rPr>
          <w:spacing w:val="-2"/>
          <w:sz w:val="22"/>
        </w:rPr>
        <w:t>(</w:t>
      </w:r>
      <w:hyperlink r:id="rId12">
        <w:r>
          <w:rPr>
            <w:color w:val="0000FF"/>
            <w:spacing w:val="-2"/>
            <w:sz w:val="22"/>
            <w:u w:val="single" w:color="0000FF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Uniós</w:t>
      </w:r>
      <w:r>
        <w:rPr>
          <w:spacing w:val="-5"/>
        </w:rPr>
        <w:t> </w:t>
      </w:r>
      <w:r>
        <w:rPr>
          <w:spacing w:val="-2"/>
        </w:rPr>
        <w:t>kiadványok</w:t>
      </w:r>
    </w:p>
    <w:p>
      <w:pPr>
        <w:spacing w:line="290" w:lineRule="auto" w:before="167"/>
        <w:ind w:left="437" w:right="639" w:firstLine="0"/>
        <w:jc w:val="left"/>
        <w:rPr>
          <w:sz w:val="22"/>
        </w:rPr>
      </w:pPr>
      <w:r>
        <w:rPr>
          <w:sz w:val="22"/>
        </w:rPr>
        <w:t>Az </w:t>
      </w:r>
      <w:hyperlink r:id="rId13">
        <w:r>
          <w:rPr>
            <w:color w:val="0000FF"/>
            <w:sz w:val="22"/>
            <w:u w:val="single" w:color="0000FF"/>
          </w:rPr>
          <w:t>op.europa.eu/hu/publications</w:t>
        </w:r>
      </w:hyperlink>
      <w:r>
        <w:rPr>
          <w:sz w:val="22"/>
          <w:u w:val="none"/>
        </w:rPr>
        <w:t>címen uniós kiadványok tekinthetők meg és rendelhetők. Ha bizonyos ingyenes kiadványokból több példányra van szüksége, rendeljen a Europe Direct központtól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vagy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hazájának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helyi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dokumentációs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központjától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(</w:t>
      </w:r>
      <w:hyperlink r:id="rId10">
        <w:r>
          <w:rPr>
            <w:color w:val="0000FF"/>
            <w:sz w:val="22"/>
            <w:u w:val="single" w:color="0000FF"/>
          </w:rPr>
          <w:t>european-union.europa.eu/contact-</w:t>
        </w:r>
      </w:hyperlink>
      <w:r>
        <w:rPr>
          <w:color w:val="0000FF"/>
          <w:sz w:val="22"/>
          <w:u w:val="none"/>
        </w:rPr>
        <w:t> </w:t>
      </w:r>
      <w:hyperlink r:id="rId10">
        <w:r>
          <w:rPr>
            <w:color w:val="0000FF"/>
            <w:spacing w:val="-2"/>
            <w:sz w:val="22"/>
            <w:u w:val="single" w:color="0000FF"/>
          </w:rPr>
          <w:t>eu/meet-us_hu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Uniós</w:t>
      </w:r>
      <w:r>
        <w:rPr>
          <w:spacing w:val="-8"/>
        </w:rPr>
        <w:t> </w:t>
      </w:r>
      <w:r>
        <w:rPr/>
        <w:t>jogszabályok</w:t>
      </w:r>
      <w:r>
        <w:rPr>
          <w:spacing w:val="-7"/>
        </w:rPr>
        <w:t> </w:t>
      </w:r>
      <w:r>
        <w:rPr/>
        <w:t>és</w:t>
      </w:r>
      <w:r>
        <w:rPr>
          <w:spacing w:val="-7"/>
        </w:rPr>
        <w:t> </w:t>
      </w:r>
      <w:r>
        <w:rPr/>
        <w:t>kapcsolódó</w:t>
      </w:r>
      <w:r>
        <w:rPr>
          <w:spacing w:val="-7"/>
        </w:rPr>
        <w:t> </w:t>
      </w:r>
      <w:r>
        <w:rPr>
          <w:spacing w:val="-2"/>
        </w:rPr>
        <w:t>dokumentumok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Az</w:t>
      </w:r>
      <w:r>
        <w:rPr>
          <w:spacing w:val="-4"/>
          <w:sz w:val="22"/>
        </w:rPr>
        <w:t> </w:t>
      </w:r>
      <w:r>
        <w:rPr>
          <w:sz w:val="22"/>
        </w:rPr>
        <w:t>EUR-Lex</w:t>
      </w:r>
      <w:r>
        <w:rPr>
          <w:spacing w:val="-4"/>
          <w:sz w:val="22"/>
        </w:rPr>
        <w:t> </w:t>
      </w:r>
      <w:r>
        <w:rPr>
          <w:sz w:val="22"/>
        </w:rPr>
        <w:t>portálon</w:t>
      </w:r>
      <w:r>
        <w:rPr>
          <w:spacing w:val="-4"/>
          <w:sz w:val="22"/>
        </w:rPr>
        <w:t> </w:t>
      </w:r>
      <w:r>
        <w:rPr>
          <w:sz w:val="22"/>
        </w:rPr>
        <w:t>bármelyik</w:t>
      </w:r>
      <w:r>
        <w:rPr>
          <w:spacing w:val="-4"/>
          <w:sz w:val="22"/>
        </w:rPr>
        <w:t> </w:t>
      </w:r>
      <w:r>
        <w:rPr>
          <w:sz w:val="22"/>
        </w:rPr>
        <w:t>hivatalos</w:t>
      </w:r>
      <w:r>
        <w:rPr>
          <w:spacing w:val="-4"/>
          <w:sz w:val="22"/>
        </w:rPr>
        <w:t> </w:t>
      </w:r>
      <w:r>
        <w:rPr>
          <w:sz w:val="22"/>
        </w:rPr>
        <w:t>nyelven</w:t>
      </w:r>
      <w:r>
        <w:rPr>
          <w:spacing w:val="-4"/>
          <w:sz w:val="22"/>
        </w:rPr>
        <w:t> </w:t>
      </w:r>
      <w:r>
        <w:rPr>
          <w:sz w:val="22"/>
        </w:rPr>
        <w:t>hozzáférhetők</w:t>
      </w:r>
      <w:r>
        <w:rPr>
          <w:spacing w:val="-4"/>
          <w:sz w:val="22"/>
        </w:rPr>
        <w:t> </w:t>
      </w:r>
      <w:r>
        <w:rPr>
          <w:sz w:val="22"/>
        </w:rPr>
        <w:t>az</w:t>
      </w:r>
      <w:r>
        <w:rPr>
          <w:spacing w:val="-4"/>
          <w:sz w:val="22"/>
        </w:rPr>
        <w:t> </w:t>
      </w:r>
      <w:r>
        <w:rPr>
          <w:sz w:val="22"/>
        </w:rPr>
        <w:t>EU</w:t>
      </w:r>
      <w:r>
        <w:rPr>
          <w:spacing w:val="-4"/>
          <w:sz w:val="22"/>
        </w:rPr>
        <w:t> </w:t>
      </w:r>
      <w:r>
        <w:rPr>
          <w:sz w:val="22"/>
        </w:rPr>
        <w:t>jogi</w:t>
      </w:r>
      <w:r>
        <w:rPr>
          <w:spacing w:val="-4"/>
          <w:sz w:val="22"/>
        </w:rPr>
        <w:t> </w:t>
      </w:r>
      <w:r>
        <w:rPr>
          <w:sz w:val="22"/>
        </w:rPr>
        <w:t>tartalmai</w:t>
      </w:r>
      <w:r>
        <w:rPr>
          <w:spacing w:val="-4"/>
          <w:sz w:val="22"/>
        </w:rPr>
        <w:t> </w:t>
      </w:r>
      <w:r>
        <w:rPr>
          <w:sz w:val="22"/>
        </w:rPr>
        <w:t>és</w:t>
      </w:r>
      <w:r>
        <w:rPr>
          <w:spacing w:val="-4"/>
          <w:sz w:val="22"/>
        </w:rPr>
        <w:t> </w:t>
      </w:r>
      <w:r>
        <w:rPr>
          <w:sz w:val="22"/>
        </w:rPr>
        <w:t>az</w:t>
      </w:r>
      <w:r>
        <w:rPr>
          <w:spacing w:val="-4"/>
          <w:sz w:val="22"/>
        </w:rPr>
        <w:t> </w:t>
      </w:r>
      <w:r>
        <w:rPr>
          <w:sz w:val="22"/>
        </w:rPr>
        <w:t>1951-től megjelenő jogszabályai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Uniós</w:t>
      </w:r>
      <w:r>
        <w:rPr>
          <w:spacing w:val="-6"/>
        </w:rPr>
        <w:t> </w:t>
      </w:r>
      <w:r>
        <w:rPr/>
        <w:t>nyílt</w:t>
      </w:r>
      <w:r>
        <w:rPr>
          <w:spacing w:val="-6"/>
        </w:rPr>
        <w:t> </w:t>
      </w:r>
      <w:r>
        <w:rPr/>
        <w:t>hozzáférésű</w:t>
      </w:r>
      <w:r>
        <w:rPr>
          <w:spacing w:val="-5"/>
        </w:rPr>
        <w:t> </w:t>
      </w:r>
      <w:r>
        <w:rPr>
          <w:spacing w:val="-2"/>
        </w:rPr>
        <w:t>adatok</w:t>
      </w:r>
    </w:p>
    <w:p>
      <w:pPr>
        <w:spacing w:line="290" w:lineRule="auto" w:before="167"/>
        <w:ind w:left="437" w:right="639" w:firstLine="0"/>
        <w:jc w:val="left"/>
        <w:rPr>
          <w:sz w:val="22"/>
        </w:rPr>
      </w:pPr>
      <w:r>
        <w:rPr>
          <w:sz w:val="22"/>
        </w:rPr>
        <w:t>A „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sz w:val="22"/>
          <w:u w:val="none"/>
        </w:rPr>
        <w:t>” portálon az uniós intézmények, szervek és ügynökségek nyílt hozzáférésű adatkészletei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érhetők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el.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Az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adatok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ingyen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letölthetők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és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felhasználhatók,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úgy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kereskedelmi,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mint nem kereskedelmi célokra. Emellett a portálon keresztül a különböző európai országok számos adatkészlete elérhető.</w:t>
      </w:r>
    </w:p>
    <w:sectPr>
      <w:pgSz w:w="11910" w:h="16840"/>
      <w:pgMar w:top="600" w:bottom="280" w:left="64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Palatino Linotype">
    <w:altName w:val="Palatino Linotype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hu-HU" w:eastAsia="en-US" w:bidi="ar-SA"/>
      </w:rPr>
    </w:lvl>
    <w:lvl w:ilvl="1">
      <w:start w:val="0"/>
      <w:numFmt w:val="bullet"/>
      <w:lvlText w:val="•"/>
      <w:lvlJc w:val="left"/>
      <w:pPr>
        <w:ind w:left="1790" w:hanging="400"/>
      </w:pPr>
      <w:rPr>
        <w:rFonts w:hint="default"/>
        <w:lang w:val="hu-HU" w:eastAsia="en-US" w:bidi="ar-SA"/>
      </w:rPr>
    </w:lvl>
    <w:lvl w:ilvl="2">
      <w:start w:val="0"/>
      <w:numFmt w:val="bullet"/>
      <w:lvlText w:val="•"/>
      <w:lvlJc w:val="left"/>
      <w:pPr>
        <w:ind w:left="2761" w:hanging="400"/>
      </w:pPr>
      <w:rPr>
        <w:rFonts w:hint="default"/>
        <w:lang w:val="hu-HU" w:eastAsia="en-US" w:bidi="ar-SA"/>
      </w:rPr>
    </w:lvl>
    <w:lvl w:ilvl="3">
      <w:start w:val="0"/>
      <w:numFmt w:val="bullet"/>
      <w:lvlText w:val="•"/>
      <w:lvlJc w:val="left"/>
      <w:pPr>
        <w:ind w:left="3732" w:hanging="400"/>
      </w:pPr>
      <w:rPr>
        <w:rFonts w:hint="default"/>
        <w:lang w:val="hu-HU" w:eastAsia="en-US" w:bidi="ar-SA"/>
      </w:rPr>
    </w:lvl>
    <w:lvl w:ilvl="4">
      <w:start w:val="0"/>
      <w:numFmt w:val="bullet"/>
      <w:lvlText w:val="•"/>
      <w:lvlJc w:val="left"/>
      <w:pPr>
        <w:ind w:left="4703" w:hanging="400"/>
      </w:pPr>
      <w:rPr>
        <w:rFonts w:hint="default"/>
        <w:lang w:val="hu-HU" w:eastAsia="en-US" w:bidi="ar-SA"/>
      </w:rPr>
    </w:lvl>
    <w:lvl w:ilvl="5">
      <w:start w:val="0"/>
      <w:numFmt w:val="bullet"/>
      <w:lvlText w:val="•"/>
      <w:lvlJc w:val="left"/>
      <w:pPr>
        <w:ind w:left="5674" w:hanging="400"/>
      </w:pPr>
      <w:rPr>
        <w:rFonts w:hint="default"/>
        <w:lang w:val="hu-HU" w:eastAsia="en-US" w:bidi="ar-SA"/>
      </w:rPr>
    </w:lvl>
    <w:lvl w:ilvl="6">
      <w:start w:val="0"/>
      <w:numFmt w:val="bullet"/>
      <w:lvlText w:val="•"/>
      <w:lvlJc w:val="left"/>
      <w:pPr>
        <w:ind w:left="6645" w:hanging="400"/>
      </w:pPr>
      <w:rPr>
        <w:rFonts w:hint="default"/>
        <w:lang w:val="hu-HU" w:eastAsia="en-US" w:bidi="ar-SA"/>
      </w:rPr>
    </w:lvl>
    <w:lvl w:ilvl="7">
      <w:start w:val="0"/>
      <w:numFmt w:val="bullet"/>
      <w:lvlText w:val="•"/>
      <w:lvlJc w:val="left"/>
      <w:pPr>
        <w:ind w:left="7616" w:hanging="400"/>
      </w:pPr>
      <w:rPr>
        <w:rFonts w:hint="default"/>
        <w:lang w:val="hu-HU" w:eastAsia="en-US" w:bidi="ar-SA"/>
      </w:rPr>
    </w:lvl>
    <w:lvl w:ilvl="8">
      <w:start w:val="0"/>
      <w:numFmt w:val="bullet"/>
      <w:lvlText w:val="•"/>
      <w:lvlJc w:val="left"/>
      <w:pPr>
        <w:ind w:left="8587" w:hanging="400"/>
      </w:pPr>
      <w:rPr>
        <w:rFonts w:hint="default"/>
        <w:lang w:val="hu-H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hu-HU" w:eastAsia="en-US" w:bidi="ar-SA"/>
      </w:rPr>
    </w:lvl>
    <w:lvl w:ilvl="1">
      <w:start w:val="0"/>
      <w:numFmt w:val="bullet"/>
      <w:lvlText w:val="•"/>
      <w:lvlJc w:val="left"/>
      <w:pPr>
        <w:ind w:left="1466" w:hanging="300"/>
      </w:pPr>
      <w:rPr>
        <w:rFonts w:hint="default"/>
        <w:lang w:val="hu-HU" w:eastAsia="en-US" w:bidi="ar-SA"/>
      </w:rPr>
    </w:lvl>
    <w:lvl w:ilvl="2">
      <w:start w:val="0"/>
      <w:numFmt w:val="bullet"/>
      <w:lvlText w:val="•"/>
      <w:lvlJc w:val="left"/>
      <w:pPr>
        <w:ind w:left="2473" w:hanging="300"/>
      </w:pPr>
      <w:rPr>
        <w:rFonts w:hint="default"/>
        <w:lang w:val="hu-HU" w:eastAsia="en-US" w:bidi="ar-SA"/>
      </w:rPr>
    </w:lvl>
    <w:lvl w:ilvl="3">
      <w:start w:val="0"/>
      <w:numFmt w:val="bullet"/>
      <w:lvlText w:val="•"/>
      <w:lvlJc w:val="left"/>
      <w:pPr>
        <w:ind w:left="3480" w:hanging="300"/>
      </w:pPr>
      <w:rPr>
        <w:rFonts w:hint="default"/>
        <w:lang w:val="hu-HU" w:eastAsia="en-US" w:bidi="ar-SA"/>
      </w:rPr>
    </w:lvl>
    <w:lvl w:ilvl="4">
      <w:start w:val="0"/>
      <w:numFmt w:val="bullet"/>
      <w:lvlText w:val="•"/>
      <w:lvlJc w:val="left"/>
      <w:pPr>
        <w:ind w:left="4487" w:hanging="300"/>
      </w:pPr>
      <w:rPr>
        <w:rFonts w:hint="default"/>
        <w:lang w:val="hu-HU" w:eastAsia="en-US" w:bidi="ar-SA"/>
      </w:rPr>
    </w:lvl>
    <w:lvl w:ilvl="5">
      <w:start w:val="0"/>
      <w:numFmt w:val="bullet"/>
      <w:lvlText w:val="•"/>
      <w:lvlJc w:val="left"/>
      <w:pPr>
        <w:ind w:left="5494" w:hanging="300"/>
      </w:pPr>
      <w:rPr>
        <w:rFonts w:hint="default"/>
        <w:lang w:val="hu-HU" w:eastAsia="en-US" w:bidi="ar-SA"/>
      </w:rPr>
    </w:lvl>
    <w:lvl w:ilvl="6">
      <w:start w:val="0"/>
      <w:numFmt w:val="bullet"/>
      <w:lvlText w:val="•"/>
      <w:lvlJc w:val="left"/>
      <w:pPr>
        <w:ind w:left="6501" w:hanging="300"/>
      </w:pPr>
      <w:rPr>
        <w:rFonts w:hint="default"/>
        <w:lang w:val="hu-HU" w:eastAsia="en-US" w:bidi="ar-SA"/>
      </w:rPr>
    </w:lvl>
    <w:lvl w:ilvl="7">
      <w:start w:val="0"/>
      <w:numFmt w:val="bullet"/>
      <w:lvlText w:val="•"/>
      <w:lvlJc w:val="left"/>
      <w:pPr>
        <w:ind w:left="7508" w:hanging="300"/>
      </w:pPr>
      <w:rPr>
        <w:rFonts w:hint="default"/>
        <w:lang w:val="hu-HU" w:eastAsia="en-US" w:bidi="ar-SA"/>
      </w:rPr>
    </w:lvl>
    <w:lvl w:ilvl="8">
      <w:start w:val="0"/>
      <w:numFmt w:val="bullet"/>
      <w:lvlText w:val="•"/>
      <w:lvlJc w:val="left"/>
      <w:pPr>
        <w:ind w:left="8515" w:hanging="300"/>
      </w:pPr>
      <w:rPr>
        <w:rFonts w:hint="default"/>
        <w:lang w:val="hu-HU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hu-HU" w:eastAsia="en-US" w:bidi="ar-SA"/>
      </w:rPr>
    </w:lvl>
    <w:lvl w:ilvl="1">
      <w:start w:val="0"/>
      <w:numFmt w:val="bullet"/>
      <w:lvlText w:val="•"/>
      <w:lvlJc w:val="left"/>
      <w:pPr>
        <w:ind w:left="1538" w:hanging="380"/>
      </w:pPr>
      <w:rPr>
        <w:rFonts w:hint="default"/>
        <w:lang w:val="hu-HU" w:eastAsia="en-US" w:bidi="ar-SA"/>
      </w:rPr>
    </w:lvl>
    <w:lvl w:ilvl="2">
      <w:start w:val="0"/>
      <w:numFmt w:val="bullet"/>
      <w:lvlText w:val="•"/>
      <w:lvlJc w:val="left"/>
      <w:pPr>
        <w:ind w:left="2537" w:hanging="380"/>
      </w:pPr>
      <w:rPr>
        <w:rFonts w:hint="default"/>
        <w:lang w:val="hu-HU" w:eastAsia="en-US" w:bidi="ar-SA"/>
      </w:rPr>
    </w:lvl>
    <w:lvl w:ilvl="3">
      <w:start w:val="0"/>
      <w:numFmt w:val="bullet"/>
      <w:lvlText w:val="•"/>
      <w:lvlJc w:val="left"/>
      <w:pPr>
        <w:ind w:left="3536" w:hanging="380"/>
      </w:pPr>
      <w:rPr>
        <w:rFonts w:hint="default"/>
        <w:lang w:val="hu-HU" w:eastAsia="en-US" w:bidi="ar-SA"/>
      </w:rPr>
    </w:lvl>
    <w:lvl w:ilvl="4">
      <w:start w:val="0"/>
      <w:numFmt w:val="bullet"/>
      <w:lvlText w:val="•"/>
      <w:lvlJc w:val="left"/>
      <w:pPr>
        <w:ind w:left="4535" w:hanging="380"/>
      </w:pPr>
      <w:rPr>
        <w:rFonts w:hint="default"/>
        <w:lang w:val="hu-HU" w:eastAsia="en-US" w:bidi="ar-SA"/>
      </w:rPr>
    </w:lvl>
    <w:lvl w:ilvl="5">
      <w:start w:val="0"/>
      <w:numFmt w:val="bullet"/>
      <w:lvlText w:val="•"/>
      <w:lvlJc w:val="left"/>
      <w:pPr>
        <w:ind w:left="5534" w:hanging="380"/>
      </w:pPr>
      <w:rPr>
        <w:rFonts w:hint="default"/>
        <w:lang w:val="hu-HU" w:eastAsia="en-US" w:bidi="ar-SA"/>
      </w:rPr>
    </w:lvl>
    <w:lvl w:ilvl="6">
      <w:start w:val="0"/>
      <w:numFmt w:val="bullet"/>
      <w:lvlText w:val="•"/>
      <w:lvlJc w:val="left"/>
      <w:pPr>
        <w:ind w:left="6533" w:hanging="380"/>
      </w:pPr>
      <w:rPr>
        <w:rFonts w:hint="default"/>
        <w:lang w:val="hu-HU" w:eastAsia="en-US" w:bidi="ar-SA"/>
      </w:rPr>
    </w:lvl>
    <w:lvl w:ilvl="7">
      <w:start w:val="0"/>
      <w:numFmt w:val="bullet"/>
      <w:lvlText w:val="•"/>
      <w:lvlJc w:val="left"/>
      <w:pPr>
        <w:ind w:left="7532" w:hanging="380"/>
      </w:pPr>
      <w:rPr>
        <w:rFonts w:hint="default"/>
        <w:lang w:val="hu-HU" w:eastAsia="en-US" w:bidi="ar-SA"/>
      </w:rPr>
    </w:lvl>
    <w:lvl w:ilvl="8">
      <w:start w:val="0"/>
      <w:numFmt w:val="bullet"/>
      <w:lvlText w:val="•"/>
      <w:lvlJc w:val="left"/>
      <w:pPr>
        <w:ind w:left="8531" w:hanging="380"/>
      </w:pPr>
      <w:rPr>
        <w:rFonts w:hint="default"/>
        <w:lang w:val="hu-HU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hu-HU" w:eastAsia="en-US" w:bidi="ar-SA"/>
    </w:rPr>
  </w:style>
  <w:style w:styleId="BodyText" w:type="paragraph">
    <w:name w:val="Body Text"/>
    <w:basedOn w:val="Normal"/>
    <w:uiPriority w:val="1"/>
    <w:qFormat/>
    <w:pPr>
      <w:ind w:left="153"/>
    </w:pPr>
    <w:rPr>
      <w:rFonts w:ascii="Arial" w:hAnsi="Arial" w:eastAsia="Arial" w:cs="Arial"/>
      <w:sz w:val="20"/>
      <w:szCs w:val="20"/>
      <w:lang w:val="hu-HU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hu-HU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hu-HU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542" w:hanging="379"/>
    </w:pPr>
    <w:rPr>
      <w:rFonts w:ascii="Arial" w:hAnsi="Arial" w:eastAsia="Arial" w:cs="Arial"/>
      <w:lang w:val="hu-HU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hu-H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deed.hu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hu" TargetMode="External"/><Relationship Id="rId11" Type="http://schemas.openxmlformats.org/officeDocument/2006/relationships/hyperlink" Target="https://european-union.europa.eu/contact-eu/write-us_hu" TargetMode="External"/><Relationship Id="rId12" Type="http://schemas.openxmlformats.org/officeDocument/2006/relationships/hyperlink" Target="https://european-union.europa.eu/index_hu" TargetMode="External"/><Relationship Id="rId13" Type="http://schemas.openxmlformats.org/officeDocument/2006/relationships/hyperlink" Target="https://op.europa.eu/hu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hu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 – HU</dc:title>
  <dcterms:created xsi:type="dcterms:W3CDTF">2025-05-21T07:42:19Z</dcterms:created>
  <dcterms:modified xsi:type="dcterms:W3CDTF">2025-05-21T07:42:19Z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2025-05-21T00:00:00Z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2025-05-21T00:00:00Z</vt:filetime>
  </property>
</Properties>
</file>