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41"/>
        <w:jc w:val="center"/>
      </w:pPr>
      <w:bookmarkStart w:name="European Union executive agencies – SK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SK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[tlačiar]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[krajina]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Rukopis</w:t>
      </w:r>
      <w:r>
        <w:rPr>
          <w:spacing w:val="-3"/>
        </w:rPr>
        <w:t> </w:t>
      </w:r>
      <w:r>
        <w:rPr/>
        <w:t>bol</w:t>
      </w:r>
      <w:r>
        <w:rPr>
          <w:spacing w:val="-3"/>
        </w:rPr>
        <w:t> </w:t>
      </w:r>
      <w:r>
        <w:rPr/>
        <w:t>dokončený</w:t>
      </w:r>
      <w:r>
        <w:rPr>
          <w:spacing w:val="-3"/>
        </w:rPr>
        <w:t> </w:t>
      </w:r>
      <w:r>
        <w:rPr/>
        <w:t>v</w:t>
      </w:r>
      <w:r>
        <w:rPr>
          <w:spacing w:val="-3"/>
        </w:rPr>
        <w:t> </w:t>
      </w:r>
      <w:r>
        <w:rPr/>
        <w:t>[mesiac]</w:t>
      </w:r>
      <w:r>
        <w:rPr>
          <w:spacing w:val="-2"/>
        </w:rPr>
        <w:t> [rok]</w:t>
      </w:r>
    </w:p>
    <w:p>
      <w:pPr>
        <w:pStyle w:val="BodyText"/>
        <w:spacing w:line="540" w:lineRule="atLeast"/>
        <w:ind w:right="3791"/>
      </w:pPr>
      <w:r>
        <w:rPr/>
        <w:t>Revidované</w:t>
      </w:r>
      <w:r>
        <w:rPr>
          <w:spacing w:val="-6"/>
        </w:rPr>
        <w:t> </w:t>
      </w:r>
      <w:r>
        <w:rPr/>
        <w:t>vydanie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Korigované</w:t>
      </w:r>
      <w:r>
        <w:rPr>
          <w:spacing w:val="-6"/>
        </w:rPr>
        <w:t> </w:t>
      </w:r>
      <w:r>
        <w:rPr/>
        <w:t>vydanie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Prvé/Druhé/</w:t>
      </w:r>
      <w:r>
        <w:rPr>
          <w:i/>
        </w:rPr>
        <w:t>n</w:t>
      </w:r>
      <w:r>
        <w:rPr/>
        <w:t>-té</w:t>
      </w:r>
      <w:r>
        <w:rPr>
          <w:spacing w:val="-6"/>
        </w:rPr>
        <w:t> </w:t>
      </w:r>
      <w:r>
        <w:rPr/>
        <w:t>vydanie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</w:pPr>
      <w:r>
        <w:rPr/>
        <w:t>Tento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sa</w:t>
      </w:r>
      <w:r>
        <w:rPr>
          <w:spacing w:val="-6"/>
        </w:rPr>
        <w:t> </w:t>
      </w:r>
      <w:r>
        <w:rPr/>
        <w:t>nemal</w:t>
      </w:r>
      <w:r>
        <w:rPr>
          <w:spacing w:val="-6"/>
        </w:rPr>
        <w:t> </w:t>
      </w:r>
      <w:r>
        <w:rPr/>
        <w:t>považovať</w:t>
      </w:r>
      <w:r>
        <w:rPr>
          <w:spacing w:val="-6"/>
        </w:rPr>
        <w:t> </w:t>
      </w:r>
      <w:r>
        <w:rPr/>
        <w:t>za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predstavujúci</w:t>
      </w:r>
      <w:r>
        <w:rPr>
          <w:spacing w:val="-6"/>
        </w:rPr>
        <w:t> </w:t>
      </w:r>
      <w:r>
        <w:rPr/>
        <w:t>oficiálne</w:t>
      </w:r>
      <w:r>
        <w:rPr>
          <w:spacing w:val="-6"/>
        </w:rPr>
        <w:t> </w:t>
      </w:r>
      <w:r>
        <w:rPr/>
        <w:t>stanovisko</w:t>
      </w:r>
      <w:r>
        <w:rPr>
          <w:spacing w:val="-6"/>
        </w:rPr>
        <w:t> </w:t>
      </w:r>
      <w:r>
        <w:rPr/>
        <w:t>Európskej</w:t>
      </w:r>
      <w:r>
        <w:rPr>
          <w:spacing w:val="-6"/>
        </w:rPr>
        <w:t> </w:t>
      </w:r>
      <w:r>
        <w:rPr/>
        <w:t>komisie. Luxemburg: Úrad pre vydávanie publikácií Európskej únie, [rok]</w:t>
      </w:r>
    </w:p>
    <w:p>
      <w:pPr>
        <w:pStyle w:val="BodyText"/>
        <w:spacing w:line="348" w:lineRule="auto"/>
        <w:ind w:right="7531"/>
      </w:pPr>
      <w:r>
        <w:rPr/>
        <w:t>© [Výkonná agentúra], [rok]</w:t>
      </w:r>
      <w:r>
        <w:rPr>
          <w:spacing w:val="40"/>
        </w:rPr>
        <w:t>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right="215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[Výkonná</w:t>
      </w:r>
      <w:r>
        <w:rPr>
          <w:spacing w:val="-4"/>
        </w:rPr>
        <w:t> </w:t>
      </w:r>
      <w:r>
        <w:rPr/>
        <w:t>agentúra],</w:t>
      </w:r>
      <w:r>
        <w:rPr>
          <w:spacing w:val="-4"/>
        </w:rPr>
        <w:t> </w:t>
      </w:r>
      <w:r>
        <w:rPr/>
        <w:t>[rok].</w:t>
      </w:r>
      <w:r>
        <w:rPr>
          <w:spacing w:val="-4"/>
        </w:rPr>
        <w:t> </w:t>
      </w:r>
      <w:r>
        <w:rPr/>
        <w:t>Určitý</w:t>
      </w:r>
      <w:r>
        <w:rPr>
          <w:spacing w:val="-4"/>
        </w:rPr>
        <w:t> </w:t>
      </w:r>
      <w:r>
        <w:rPr/>
        <w:t>obsah</w:t>
      </w:r>
      <w:r>
        <w:rPr>
          <w:spacing w:val="-4"/>
        </w:rPr>
        <w:t> </w:t>
      </w:r>
      <w:r>
        <w:rPr/>
        <w:t>bol</w:t>
      </w:r>
      <w:r>
        <w:rPr>
          <w:spacing w:val="-4"/>
        </w:rPr>
        <w:t> </w:t>
      </w:r>
      <w:r>
        <w:rPr/>
        <w:t>vytvorený</w:t>
      </w:r>
      <w:r>
        <w:rPr>
          <w:spacing w:val="-4"/>
        </w:rPr>
        <w:t> </w:t>
      </w:r>
      <w:r>
        <w:rPr/>
        <w:t>pomocou</w:t>
      </w:r>
      <w:r>
        <w:rPr>
          <w:spacing w:val="-4"/>
        </w:rPr>
        <w:t> </w:t>
      </w:r>
      <w:r>
        <w:rPr/>
        <w:t>[názov</w:t>
      </w:r>
      <w:r>
        <w:rPr>
          <w:spacing w:val="-4"/>
        </w:rPr>
        <w:t> </w:t>
      </w:r>
      <w:r>
        <w:rPr/>
        <w:t>nástroja</w:t>
      </w:r>
      <w:r>
        <w:rPr>
          <w:spacing w:val="-4"/>
        </w:rPr>
        <w:t> </w:t>
      </w:r>
      <w:r>
        <w:rPr/>
        <w:t>AI].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</w:pPr>
      <w:r>
        <w:rPr/>
        <w:t>Výkonné agentúry uplatňujú politiku Komisie týkajúcu sa opakovaného použitia materiálov, ktorá sa riadi rozhodnutím</w:t>
      </w:r>
      <w:r>
        <w:rPr>
          <w:spacing w:val="-6"/>
        </w:rPr>
        <w:t> </w:t>
      </w:r>
      <w:r>
        <w:rPr/>
        <w:t>2011/833/EÚ</w:t>
      </w:r>
      <w:r>
        <w:rPr>
          <w:spacing w:val="-6"/>
        </w:rPr>
        <w:t> </w:t>
      </w:r>
      <w:r>
        <w:rPr/>
        <w:t>z</w:t>
      </w:r>
      <w:r>
        <w:rPr>
          <w:spacing w:val="-6"/>
        </w:rPr>
        <w:t> </w:t>
      </w:r>
      <w:r>
        <w:rPr/>
        <w:t>12.</w:t>
      </w:r>
      <w:r>
        <w:rPr>
          <w:spacing w:val="-6"/>
        </w:rPr>
        <w:t> </w:t>
      </w:r>
      <w:r>
        <w:rPr/>
        <w:t>decembra</w:t>
      </w:r>
      <w:r>
        <w:rPr>
          <w:spacing w:val="-6"/>
        </w:rPr>
        <w:t> </w:t>
      </w:r>
      <w:r>
        <w:rPr/>
        <w:t>2011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/>
        <w:t>opakovanom</w:t>
      </w:r>
      <w:r>
        <w:rPr>
          <w:spacing w:val="-6"/>
        </w:rPr>
        <w:t> </w:t>
      </w:r>
      <w:r>
        <w:rPr/>
        <w:t>použití</w:t>
      </w:r>
      <w:r>
        <w:rPr>
          <w:spacing w:val="-6"/>
        </w:rPr>
        <w:t> </w:t>
      </w:r>
      <w:r>
        <w:rPr/>
        <w:t>dokumentov</w:t>
      </w:r>
      <w:r>
        <w:rPr>
          <w:spacing w:val="-6"/>
        </w:rPr>
        <w:t> </w:t>
      </w:r>
      <w:r>
        <w:rPr/>
        <w:t>Komisie</w:t>
      </w:r>
      <w:r>
        <w:rPr>
          <w:spacing w:val="-6"/>
        </w:rPr>
        <w:t> </w:t>
      </w:r>
      <w:r>
        <w:rPr/>
        <w:t>(Ú.</w:t>
      </w:r>
      <w:r>
        <w:rPr>
          <w:spacing w:val="-6"/>
        </w:rPr>
        <w:t> </w:t>
      </w:r>
      <w:r>
        <w:rPr/>
        <w:t>v.</w:t>
      </w:r>
      <w:r>
        <w:rPr>
          <w:spacing w:val="-6"/>
        </w:rPr>
        <w:t> </w:t>
      </w:r>
      <w:r>
        <w:rPr/>
        <w:t>EÚ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 14.12.2011, s.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Ak nie je uvedené inak, opakované použitie tohto dokumentu je povolené v zmysle licencie Creative Commons Attribution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To</w:t>
      </w:r>
      <w:r>
        <w:rPr>
          <w:spacing w:val="-7"/>
          <w:u w:val="none"/>
        </w:rPr>
        <w:t> </w:t>
      </w:r>
      <w:r>
        <w:rPr>
          <w:u w:val="none"/>
        </w:rPr>
        <w:t>znamená,</w:t>
      </w:r>
      <w:r>
        <w:rPr>
          <w:spacing w:val="-7"/>
          <w:u w:val="none"/>
        </w:rPr>
        <w:t> </w:t>
      </w:r>
      <w:r>
        <w:rPr>
          <w:u w:val="none"/>
        </w:rPr>
        <w:t>že</w:t>
      </w:r>
      <w:r>
        <w:rPr>
          <w:spacing w:val="-7"/>
          <w:u w:val="none"/>
        </w:rPr>
        <w:t> </w:t>
      </w:r>
      <w:r>
        <w:rPr>
          <w:u w:val="none"/>
        </w:rPr>
        <w:t>opakované použitie je povolené za predpokladu, že sa riadne uvedie zdroj a akékoľvek zmeny.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Akékoľvek</w:t>
      </w:r>
      <w:r>
        <w:rPr>
          <w:spacing w:val="-5"/>
        </w:rPr>
        <w:t> </w:t>
      </w:r>
      <w:r>
        <w:rPr/>
        <w:t>použitie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reprodukcia</w:t>
      </w:r>
      <w:r>
        <w:rPr>
          <w:spacing w:val="-5"/>
        </w:rPr>
        <w:t> </w:t>
      </w:r>
      <w:r>
        <w:rPr/>
        <w:t>prvkov,</w:t>
      </w:r>
      <w:r>
        <w:rPr>
          <w:spacing w:val="-5"/>
        </w:rPr>
        <w:t> </w:t>
      </w:r>
      <w:r>
        <w:rPr/>
        <w:t>ktoré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sú</w:t>
      </w:r>
      <w:r>
        <w:rPr>
          <w:spacing w:val="-5"/>
        </w:rPr>
        <w:t> </w:t>
      </w:r>
      <w:r>
        <w:rPr/>
        <w:t>vo</w:t>
      </w:r>
      <w:r>
        <w:rPr>
          <w:spacing w:val="-5"/>
        </w:rPr>
        <w:t> </w:t>
      </w:r>
      <w:r>
        <w:rPr/>
        <w:t>vlastníctve</w:t>
      </w:r>
      <w:r>
        <w:rPr>
          <w:spacing w:val="-5"/>
        </w:rPr>
        <w:t> </w:t>
      </w:r>
      <w:r>
        <w:rPr/>
        <w:t>Európskej</w:t>
      </w:r>
      <w:r>
        <w:rPr>
          <w:spacing w:val="-5"/>
        </w:rPr>
        <w:t> </w:t>
      </w:r>
      <w:r>
        <w:rPr/>
        <w:t>únie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[výkonná</w:t>
      </w:r>
      <w:r>
        <w:rPr>
          <w:spacing w:val="-5"/>
        </w:rPr>
        <w:t> </w:t>
      </w:r>
      <w:r>
        <w:rPr/>
        <w:t>agentúra], môžu byť podmienené získaním súhlasu príslušných nositeľov práv. Európska únia ani [výkonná agentúra] nevlastnia autorské práva vzťahujúce sa na tieto prvky: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8"/>
          <w:sz w:val="20"/>
        </w:rPr>
        <w:t> </w:t>
      </w:r>
      <w:r>
        <w:rPr>
          <w:sz w:val="20"/>
        </w:rPr>
        <w:t>[predmetný</w:t>
      </w:r>
      <w:r>
        <w:rPr>
          <w:spacing w:val="-7"/>
          <w:sz w:val="20"/>
        </w:rPr>
        <w:t> </w:t>
      </w:r>
      <w:r>
        <w:rPr>
          <w:sz w:val="20"/>
        </w:rPr>
        <w:t>prvok],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napr.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[predmetný</w:t>
      </w:r>
      <w:r>
        <w:rPr>
          <w:spacing w:val="-6"/>
          <w:sz w:val="20"/>
        </w:rPr>
        <w:t> </w:t>
      </w:r>
      <w:r>
        <w:rPr>
          <w:sz w:val="20"/>
        </w:rPr>
        <w:t>prvok],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6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516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[predmetný</w:t>
      </w:r>
      <w:r>
        <w:rPr>
          <w:spacing w:val="-4"/>
          <w:sz w:val="20"/>
        </w:rPr>
        <w:t> </w:t>
      </w:r>
      <w:r>
        <w:rPr>
          <w:sz w:val="20"/>
        </w:rPr>
        <w:t>prvok],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zmysle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</w:t>
      </w:r>
      <w:r>
        <w:rPr>
          <w:spacing w:val="-4"/>
          <w:sz w:val="20"/>
        </w:rPr>
        <w:t> </w:t>
      </w:r>
      <w:r>
        <w:rPr>
          <w:sz w:val="20"/>
        </w:rPr>
        <w:t>na </w:t>
      </w:r>
      <w:r>
        <w:rPr>
          <w:spacing w:val="-2"/>
          <w:sz w:val="20"/>
        </w:rPr>
        <w:t>licenciu],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[ilustrácia/fotografia/atď.],</w:t>
      </w:r>
      <w:r>
        <w:rPr>
          <w:spacing w:val="-7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[meno</w:t>
      </w:r>
      <w:r>
        <w:rPr>
          <w:spacing w:val="-6"/>
          <w:sz w:val="20"/>
        </w:rPr>
        <w:t> </w:t>
      </w:r>
      <w:r>
        <w:rPr>
          <w:sz w:val="20"/>
        </w:rPr>
        <w:t>umelca],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vyhradené.</w:t>
      </w:r>
    </w:p>
    <w:p>
      <w:pPr>
        <w:pStyle w:val="BodyText"/>
        <w:spacing w:before="80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Akékoľvek</w:t>
      </w:r>
      <w:r>
        <w:rPr>
          <w:spacing w:val="-5"/>
        </w:rPr>
        <w:t> </w:t>
      </w:r>
      <w:r>
        <w:rPr/>
        <w:t>použitie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reprodukcia</w:t>
      </w:r>
      <w:r>
        <w:rPr>
          <w:spacing w:val="-5"/>
        </w:rPr>
        <w:t> </w:t>
      </w:r>
      <w:r>
        <w:rPr/>
        <w:t>prvkov,</w:t>
      </w:r>
      <w:r>
        <w:rPr>
          <w:spacing w:val="-5"/>
        </w:rPr>
        <w:t> </w:t>
      </w:r>
      <w:r>
        <w:rPr/>
        <w:t>ktoré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sú</w:t>
      </w:r>
      <w:r>
        <w:rPr>
          <w:spacing w:val="-5"/>
        </w:rPr>
        <w:t> </w:t>
      </w:r>
      <w:r>
        <w:rPr/>
        <w:t>vo</w:t>
      </w:r>
      <w:r>
        <w:rPr>
          <w:spacing w:val="-5"/>
        </w:rPr>
        <w:t> </w:t>
      </w:r>
      <w:r>
        <w:rPr/>
        <w:t>vlastníctve</w:t>
      </w:r>
      <w:r>
        <w:rPr>
          <w:spacing w:val="-5"/>
        </w:rPr>
        <w:t> </w:t>
      </w:r>
      <w:r>
        <w:rPr/>
        <w:t>Európskej</w:t>
      </w:r>
      <w:r>
        <w:rPr>
          <w:spacing w:val="-5"/>
        </w:rPr>
        <w:t> </w:t>
      </w:r>
      <w:r>
        <w:rPr/>
        <w:t>únie</w:t>
      </w:r>
      <w:r>
        <w:rPr>
          <w:spacing w:val="-5"/>
        </w:rPr>
        <w:t> </w:t>
      </w:r>
      <w:r>
        <w:rPr/>
        <w:t>alebo</w:t>
      </w:r>
      <w:r>
        <w:rPr>
          <w:spacing w:val="-5"/>
        </w:rPr>
        <w:t> </w:t>
      </w:r>
      <w:r>
        <w:rPr/>
        <w:t>[výkonná</w:t>
      </w:r>
      <w:r>
        <w:rPr>
          <w:spacing w:val="-5"/>
        </w:rPr>
        <w:t> </w:t>
      </w:r>
      <w:r>
        <w:rPr/>
        <w:t>agentúra], môžu byť podmienené získaním súhlasu príslušných nositeľov práv.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0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244420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245693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68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9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0" w:firstLine="0"/>
        <w:jc w:val="left"/>
        <w:rPr>
          <w:sz w:val="18"/>
        </w:rPr>
      </w:pPr>
      <w:r>
        <w:rPr>
          <w:sz w:val="18"/>
        </w:rPr>
        <w:t>Opakované</w:t>
      </w:r>
      <w:r>
        <w:rPr>
          <w:spacing w:val="-3"/>
          <w:sz w:val="18"/>
        </w:rPr>
        <w:t> </w:t>
      </w:r>
      <w:r>
        <w:rPr>
          <w:sz w:val="18"/>
        </w:rPr>
        <w:t>použitie</w:t>
      </w:r>
      <w:r>
        <w:rPr>
          <w:spacing w:val="-3"/>
          <w:sz w:val="18"/>
        </w:rPr>
        <w:t> </w:t>
      </w:r>
      <w:r>
        <w:rPr>
          <w:sz w:val="18"/>
        </w:rPr>
        <w:t>je</w:t>
      </w:r>
      <w:r>
        <w:rPr>
          <w:spacing w:val="-3"/>
          <w:sz w:val="18"/>
        </w:rPr>
        <w:t> </w:t>
      </w:r>
      <w:r>
        <w:rPr>
          <w:sz w:val="18"/>
        </w:rPr>
        <w:t>povolené</w:t>
      </w:r>
      <w:r>
        <w:rPr>
          <w:spacing w:val="-3"/>
          <w:sz w:val="18"/>
        </w:rPr>
        <w:t> </w:t>
      </w:r>
      <w:r>
        <w:rPr>
          <w:sz w:val="18"/>
        </w:rPr>
        <w:t>len</w:t>
      </w:r>
      <w:r>
        <w:rPr>
          <w:spacing w:val="-3"/>
          <w:sz w:val="18"/>
        </w:rPr>
        <w:t> </w:t>
      </w:r>
      <w:r>
        <w:rPr>
          <w:sz w:val="18"/>
        </w:rPr>
        <w:t>s</w:t>
      </w:r>
      <w:r>
        <w:rPr>
          <w:spacing w:val="-3"/>
          <w:sz w:val="18"/>
        </w:rPr>
        <w:t> </w:t>
      </w:r>
      <w:r>
        <w:rPr>
          <w:sz w:val="18"/>
        </w:rPr>
        <w:t>uvedením</w:t>
      </w:r>
      <w:r>
        <w:rPr>
          <w:spacing w:val="-3"/>
          <w:sz w:val="18"/>
        </w:rPr>
        <w:t> </w:t>
      </w:r>
      <w:r>
        <w:rPr>
          <w:sz w:val="18"/>
        </w:rPr>
        <w:t>zdroja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nie</w:t>
      </w:r>
      <w:r>
        <w:rPr>
          <w:spacing w:val="-3"/>
          <w:sz w:val="18"/>
        </w:rPr>
        <w:t> </w:t>
      </w:r>
      <w:r>
        <w:rPr>
          <w:sz w:val="18"/>
        </w:rPr>
        <w:t>je</w:t>
      </w:r>
      <w:r>
        <w:rPr>
          <w:spacing w:val="-3"/>
          <w:sz w:val="18"/>
        </w:rPr>
        <w:t> </w:t>
      </w:r>
      <w:r>
        <w:rPr>
          <w:sz w:val="18"/>
        </w:rPr>
        <w:t>povolené</w:t>
      </w:r>
      <w:r>
        <w:rPr>
          <w:spacing w:val="-3"/>
          <w:sz w:val="18"/>
        </w:rPr>
        <w:t> </w:t>
      </w:r>
      <w:r>
        <w:rPr>
          <w:sz w:val="18"/>
        </w:rPr>
        <w:t>skresliť</w:t>
      </w:r>
      <w:r>
        <w:rPr>
          <w:spacing w:val="-3"/>
          <w:sz w:val="18"/>
        </w:rPr>
        <w:t> </w:t>
      </w:r>
      <w:r>
        <w:rPr>
          <w:sz w:val="18"/>
        </w:rPr>
        <w:t>pôvodný</w:t>
      </w:r>
      <w:r>
        <w:rPr>
          <w:spacing w:val="-3"/>
          <w:sz w:val="18"/>
        </w:rPr>
        <w:t> </w:t>
      </w:r>
      <w:r>
        <w:rPr>
          <w:sz w:val="18"/>
        </w:rPr>
        <w:t>význam</w:t>
      </w:r>
      <w:r>
        <w:rPr>
          <w:spacing w:val="-3"/>
          <w:sz w:val="18"/>
        </w:rPr>
        <w:t> </w:t>
      </w:r>
      <w:r>
        <w:rPr>
          <w:sz w:val="18"/>
        </w:rPr>
        <w:t>alebo</w:t>
      </w:r>
      <w:r>
        <w:rPr>
          <w:spacing w:val="-3"/>
          <w:sz w:val="18"/>
        </w:rPr>
        <w:t> </w:t>
      </w:r>
      <w:r>
        <w:rPr>
          <w:sz w:val="18"/>
        </w:rPr>
        <w:t>posolstvo</w:t>
      </w:r>
      <w:r>
        <w:rPr>
          <w:spacing w:val="-3"/>
          <w:sz w:val="18"/>
        </w:rPr>
        <w:t> </w:t>
      </w:r>
      <w:r>
        <w:rPr>
          <w:sz w:val="18"/>
        </w:rPr>
        <w:t>tohto dokumentu.</w:t>
      </w:r>
      <w:r>
        <w:rPr>
          <w:spacing w:val="-3"/>
          <w:sz w:val="18"/>
        </w:rPr>
        <w:t> </w:t>
      </w:r>
      <w:r>
        <w:rPr>
          <w:sz w:val="18"/>
        </w:rPr>
        <w:t>Európska</w:t>
      </w:r>
      <w:r>
        <w:rPr>
          <w:spacing w:val="-3"/>
          <w:sz w:val="18"/>
        </w:rPr>
        <w:t> </w:t>
      </w:r>
      <w:r>
        <w:rPr>
          <w:sz w:val="18"/>
        </w:rPr>
        <w:t>komisia</w:t>
      </w:r>
      <w:r>
        <w:rPr>
          <w:spacing w:val="-3"/>
          <w:sz w:val="18"/>
        </w:rPr>
        <w:t> </w:t>
      </w:r>
      <w:r>
        <w:rPr>
          <w:sz w:val="18"/>
        </w:rPr>
        <w:t>nezodpovedá</w:t>
      </w:r>
      <w:r>
        <w:rPr>
          <w:spacing w:val="-3"/>
          <w:sz w:val="18"/>
        </w:rPr>
        <w:t> </w:t>
      </w:r>
      <w:r>
        <w:rPr>
          <w:sz w:val="18"/>
        </w:rPr>
        <w:t>za</w:t>
      </w:r>
      <w:r>
        <w:rPr>
          <w:spacing w:val="-3"/>
          <w:sz w:val="18"/>
        </w:rPr>
        <w:t> </w:t>
      </w:r>
      <w:r>
        <w:rPr>
          <w:sz w:val="18"/>
        </w:rPr>
        <w:t>žiadne</w:t>
      </w:r>
      <w:r>
        <w:rPr>
          <w:spacing w:val="-3"/>
          <w:sz w:val="18"/>
        </w:rPr>
        <w:t> </w:t>
      </w:r>
      <w:r>
        <w:rPr>
          <w:sz w:val="18"/>
        </w:rPr>
        <w:t>následky</w:t>
      </w:r>
      <w:r>
        <w:rPr>
          <w:spacing w:val="-3"/>
          <w:sz w:val="18"/>
        </w:rPr>
        <w:t> </w:t>
      </w:r>
      <w:r>
        <w:rPr>
          <w:sz w:val="18"/>
        </w:rPr>
        <w:t>opakovaného</w:t>
      </w:r>
      <w:r>
        <w:rPr>
          <w:spacing w:val="-3"/>
          <w:sz w:val="18"/>
        </w:rPr>
        <w:t> </w:t>
      </w:r>
      <w:r>
        <w:rPr>
          <w:sz w:val="18"/>
        </w:rPr>
        <w:t>použitia</w:t>
      </w:r>
      <w:r>
        <w:rPr>
          <w:spacing w:val="-3"/>
          <w:sz w:val="18"/>
        </w:rPr>
        <w:t> </w:t>
      </w:r>
      <w:r>
        <w:rPr>
          <w:sz w:val="18"/>
        </w:rPr>
        <w:t>tejto</w:t>
      </w:r>
      <w:r>
        <w:rPr>
          <w:spacing w:val="-3"/>
          <w:sz w:val="18"/>
        </w:rPr>
        <w:t> </w:t>
      </w:r>
      <w:r>
        <w:rPr>
          <w:sz w:val="18"/>
        </w:rPr>
        <w:t>publikácie.</w:t>
      </w:r>
      <w:r>
        <w:rPr>
          <w:spacing w:val="-3"/>
          <w:sz w:val="18"/>
        </w:rPr>
        <w:t> </w:t>
      </w:r>
      <w:r>
        <w:rPr>
          <w:sz w:val="18"/>
        </w:rPr>
        <w:t>Politika</w:t>
      </w:r>
      <w:r>
        <w:rPr>
          <w:spacing w:val="-3"/>
          <w:sz w:val="18"/>
        </w:rPr>
        <w:t> </w:t>
      </w:r>
      <w:r>
        <w:rPr>
          <w:sz w:val="18"/>
        </w:rPr>
        <w:t>v</w:t>
      </w:r>
      <w:r>
        <w:rPr>
          <w:spacing w:val="-3"/>
          <w:sz w:val="18"/>
        </w:rPr>
        <w:t> </w:t>
      </w:r>
      <w:r>
        <w:rPr>
          <w:sz w:val="18"/>
        </w:rPr>
        <w:t>oblasti opakovaného použitia dokumentov Európskej komisie sa vykonáva rozhodnutím Komisie 2011/833/EÚ z 12. decembra 2011 o opakovanom použití dokumentov Komisie (Ú. v. EÚ L 330, 14.12.2011, s. 39, ELI: </w:t>
      </w:r>
      <w:hyperlink r:id="rId6">
        <w:r>
          <w:rPr>
            <w:color w:val="0000FF"/>
            <w:sz w:val="18"/>
            <w:u w:val="single" w:color="0000FF"/>
          </w:rPr>
          <w:t>http://data.europa.eu/eli/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85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Cena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Luxembursku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DPH):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pStyle w:val="BodyText"/>
        <w:spacing w:after="0"/>
        <w:sectPr>
          <w:pgSz w:w="11910" w:h="16840"/>
          <w:pgMar w:top="360" w:bottom="280" w:left="708" w:right="850"/>
        </w:sectPr>
      </w:pPr>
    </w:p>
    <w:p>
      <w:pPr>
        <w:pStyle w:val="Heading1"/>
        <w:spacing w:before="73"/>
      </w:pPr>
      <w:r>
        <w:rPr/>
        <w:t>Obráťte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Osobne</w:t>
      </w:r>
    </w:p>
    <w:p>
      <w:pPr>
        <w:spacing w:line="290" w:lineRule="auto" w:before="166"/>
        <w:ind w:left="369" w:right="275" w:firstLine="0"/>
        <w:jc w:val="left"/>
        <w:rPr>
          <w:sz w:val="22"/>
        </w:rPr>
      </w:pPr>
      <w:r>
        <w:rPr>
          <w:sz w:val="22"/>
        </w:rPr>
        <w:t>V</w:t>
      </w:r>
      <w:r>
        <w:rPr>
          <w:spacing w:val="-4"/>
          <w:sz w:val="22"/>
        </w:rPr>
        <w:t> </w:t>
      </w:r>
      <w:r>
        <w:rPr>
          <w:sz w:val="22"/>
        </w:rPr>
        <w:t>rámci</w:t>
      </w:r>
      <w:r>
        <w:rPr>
          <w:spacing w:val="-4"/>
          <w:sz w:val="22"/>
        </w:rPr>
        <w:t> </w:t>
      </w:r>
      <w:r>
        <w:rPr>
          <w:sz w:val="22"/>
        </w:rPr>
        <w:t>celej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existujú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centier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najbližšieho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vám</w:t>
      </w:r>
      <w:r>
        <w:rPr>
          <w:spacing w:val="-4"/>
          <w:sz w:val="22"/>
        </w:rPr>
        <w:t> </w:t>
      </w:r>
      <w:r>
        <w:rPr>
          <w:sz w:val="22"/>
        </w:rPr>
        <w:t>nájdete online (</w:t>
      </w:r>
      <w:hyperlink r:id="rId10">
        <w:r>
          <w:rPr>
            <w:color w:val="0000FF"/>
            <w:sz w:val="22"/>
            <w:u w:val="single" w:color="0000FF"/>
          </w:rPr>
          <w:t>europa.eu/european-union/contact-eu/meet-us_sk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Telefonicky</w:t>
      </w:r>
      <w:r>
        <w:rPr/>
        <w:t> </w:t>
      </w:r>
      <w:r>
        <w:rPr>
          <w:spacing w:val="-2"/>
        </w:rPr>
        <w:t>alebo</w:t>
      </w:r>
      <w:r>
        <w:rPr>
          <w:spacing w:val="1"/>
        </w:rPr>
        <w:t> </w:t>
      </w:r>
      <w:r>
        <w:rPr>
          <w:spacing w:val="-2"/>
        </w:rPr>
        <w:t>písomne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ktorá</w:t>
      </w:r>
      <w:r>
        <w:rPr>
          <w:spacing w:val="-4"/>
          <w:sz w:val="22"/>
        </w:rPr>
        <w:t> </w:t>
      </w:r>
      <w:r>
        <w:rPr>
          <w:sz w:val="22"/>
        </w:rPr>
        <w:t>odpovedá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otázky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únii.</w:t>
      </w:r>
      <w:r>
        <w:rPr>
          <w:spacing w:val="-4"/>
          <w:sz w:val="22"/>
        </w:rPr>
        <w:t> </w:t>
      </w:r>
      <w:r>
        <w:rPr>
          <w:sz w:val="22"/>
        </w:rPr>
        <w:t>Túto</w:t>
      </w:r>
      <w:r>
        <w:rPr>
          <w:spacing w:val="-4"/>
          <w:sz w:val="22"/>
        </w:rPr>
        <w:t> </w:t>
      </w:r>
      <w:r>
        <w:rPr>
          <w:sz w:val="22"/>
        </w:rPr>
        <w:t>službu</w:t>
      </w:r>
      <w:r>
        <w:rPr>
          <w:spacing w:val="-4"/>
          <w:sz w:val="22"/>
        </w:rPr>
        <w:t> </w:t>
      </w:r>
      <w:r>
        <w:rPr>
          <w:sz w:val="22"/>
        </w:rPr>
        <w:t>môžete </w:t>
      </w:r>
      <w:r>
        <w:rPr>
          <w:spacing w:val="-2"/>
          <w:sz w:val="22"/>
        </w:rPr>
        <w:t>kontaktovať: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525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bezplatného</w:t>
      </w:r>
      <w:r>
        <w:rPr>
          <w:spacing w:val="-5"/>
          <w:sz w:val="22"/>
        </w:rPr>
        <w:t> </w:t>
      </w:r>
      <w:r>
        <w:rPr>
          <w:sz w:val="22"/>
        </w:rPr>
        <w:t>telefónneho</w:t>
      </w:r>
      <w:r>
        <w:rPr>
          <w:spacing w:val="-5"/>
          <w:sz w:val="22"/>
        </w:rPr>
        <w:t> </w:t>
      </w:r>
      <w:r>
        <w:rPr>
          <w:sz w:val="22"/>
        </w:rPr>
        <w:t>čísla: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(niektorí</w:t>
      </w:r>
      <w:r>
        <w:rPr>
          <w:spacing w:val="-5"/>
          <w:sz w:val="22"/>
        </w:rPr>
        <w:t> </w:t>
      </w:r>
      <w:r>
        <w:rPr>
          <w:sz w:val="22"/>
        </w:rPr>
        <w:t>operátori</w:t>
      </w:r>
      <w:r>
        <w:rPr>
          <w:spacing w:val="-5"/>
          <w:sz w:val="22"/>
        </w:rPr>
        <w:t> </w:t>
      </w:r>
      <w:r>
        <w:rPr>
          <w:sz w:val="22"/>
        </w:rPr>
        <w:t>môžu tieto hovory spoplatňovať),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7"/>
          <w:sz w:val="22"/>
        </w:rPr>
        <w:t> </w:t>
      </w:r>
      <w:r>
        <w:rPr>
          <w:sz w:val="22"/>
        </w:rPr>
        <w:t>štandardného</w:t>
      </w:r>
      <w:r>
        <w:rPr>
          <w:spacing w:val="-7"/>
          <w:sz w:val="22"/>
        </w:rPr>
        <w:t> </w:t>
      </w:r>
      <w:r>
        <w:rPr>
          <w:sz w:val="22"/>
        </w:rPr>
        <w:t>telefónneho</w:t>
      </w:r>
      <w:r>
        <w:rPr>
          <w:spacing w:val="-6"/>
          <w:sz w:val="22"/>
        </w:rPr>
        <w:t> </w:t>
      </w:r>
      <w:r>
        <w:rPr>
          <w:sz w:val="22"/>
        </w:rPr>
        <w:t>čísla: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formulára</w:t>
      </w:r>
      <w:r>
        <w:rPr>
          <w:spacing w:val="-4"/>
          <w:sz w:val="22"/>
        </w:rPr>
        <w:t> </w:t>
      </w:r>
      <w:r>
        <w:rPr>
          <w:sz w:val="22"/>
        </w:rPr>
        <w:t>na:</w:t>
      </w:r>
      <w:r>
        <w:rPr>
          <w:spacing w:val="-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europa.eu/european-union/contact-eu/write-</w:t>
        </w:r>
        <w:r>
          <w:rPr>
            <w:color w:val="0000FF"/>
            <w:spacing w:val="-2"/>
            <w:sz w:val="22"/>
            <w:u w:val="single" w:color="0000FF"/>
          </w:rPr>
          <w:t>us_sk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Vyhľadávanie</w:t>
      </w:r>
      <w:r>
        <w:rPr>
          <w:spacing w:val="-11"/>
        </w:rPr>
        <w:t> </w:t>
      </w:r>
      <w:r>
        <w:rPr/>
        <w:t>informácií</w:t>
      </w:r>
      <w:r>
        <w:rPr>
          <w:spacing w:val="-10"/>
        </w:rPr>
        <w:t> </w:t>
      </w:r>
      <w:r>
        <w:rPr/>
        <w:t>o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369" w:right="275" w:firstLine="0"/>
        <w:jc w:val="left"/>
        <w:rPr>
          <w:sz w:val="22"/>
        </w:rPr>
      </w:pPr>
      <w:r>
        <w:rPr>
          <w:sz w:val="22"/>
        </w:rPr>
        <w:t>Informácie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</w:t>
      </w:r>
      <w:r>
        <w:rPr>
          <w:spacing w:val="-4"/>
          <w:sz w:val="22"/>
        </w:rPr>
        <w:t> </w:t>
      </w:r>
      <w:r>
        <w:rPr>
          <w:sz w:val="22"/>
        </w:rPr>
        <w:t>sú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vo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úradných</w:t>
      </w:r>
      <w:r>
        <w:rPr>
          <w:spacing w:val="-4"/>
          <w:sz w:val="22"/>
        </w:rPr>
        <w:t> </w:t>
      </w:r>
      <w:r>
        <w:rPr>
          <w:sz w:val="22"/>
        </w:rPr>
        <w:t>jazykoch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webovej stránke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Publikácie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spacing w:line="290" w:lineRule="auto" w:before="167"/>
        <w:ind w:left="369" w:right="275" w:firstLine="0"/>
        <w:jc w:val="left"/>
        <w:rPr>
          <w:sz w:val="22"/>
        </w:rPr>
      </w:pPr>
      <w:r>
        <w:rPr>
          <w:sz w:val="22"/>
        </w:rPr>
        <w:t>Publikácie</w:t>
      </w:r>
      <w:r>
        <w:rPr>
          <w:spacing w:val="-5"/>
          <w:sz w:val="22"/>
        </w:rPr>
        <w:t> </w:t>
      </w:r>
      <w:r>
        <w:rPr>
          <w:sz w:val="22"/>
        </w:rPr>
        <w:t>EÚ</w:t>
      </w:r>
      <w:r>
        <w:rPr>
          <w:spacing w:val="-5"/>
          <w:sz w:val="22"/>
        </w:rPr>
        <w:t> </w:t>
      </w:r>
      <w:r>
        <w:rPr>
          <w:sz w:val="22"/>
        </w:rPr>
        <w:t>si</w:t>
      </w:r>
      <w:r>
        <w:rPr>
          <w:spacing w:val="-5"/>
          <w:sz w:val="22"/>
        </w:rPr>
        <w:t> </w:t>
      </w:r>
      <w:r>
        <w:rPr>
          <w:sz w:val="22"/>
        </w:rPr>
        <w:t>môžete</w:t>
      </w:r>
      <w:r>
        <w:rPr>
          <w:spacing w:val="-5"/>
          <w:sz w:val="22"/>
        </w:rPr>
        <w:t> </w:t>
      </w:r>
      <w:r>
        <w:rPr>
          <w:sz w:val="22"/>
        </w:rPr>
        <w:t>pozrieť</w:t>
      </w:r>
      <w:r>
        <w:rPr>
          <w:spacing w:val="-5"/>
          <w:sz w:val="22"/>
        </w:rPr>
        <w:t> </w:t>
      </w:r>
      <w:r>
        <w:rPr>
          <w:sz w:val="22"/>
        </w:rPr>
        <w:t>alebo</w:t>
      </w:r>
      <w:r>
        <w:rPr>
          <w:spacing w:val="-5"/>
          <w:sz w:val="22"/>
        </w:rPr>
        <w:t> </w:t>
      </w:r>
      <w:r>
        <w:rPr>
          <w:sz w:val="22"/>
        </w:rPr>
        <w:t>objednať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webovej</w:t>
      </w:r>
      <w:r>
        <w:rPr>
          <w:spacing w:val="-5"/>
          <w:sz w:val="22"/>
        </w:rPr>
        <w:t> </w:t>
      </w:r>
      <w:r>
        <w:rPr>
          <w:sz w:val="22"/>
        </w:rPr>
        <w:t>stránke</w:t>
      </w:r>
      <w:r>
        <w:rPr>
          <w:spacing w:val="-5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op.europa.eu/sk/publications</w:t>
        </w:r>
      </w:hyperlink>
      <w:r>
        <w:rPr>
          <w:sz w:val="22"/>
          <w:u w:val="none"/>
        </w:rPr>
        <w:t>. Ak chcete získať viac výtlačkov bezplatných publikácií, obráťte sa na službu Europe Direct alebo vaše miestne dokumentačné centrum (</w:t>
      </w:r>
      <w:hyperlink r:id="rId10">
        <w:r>
          <w:rPr>
            <w:color w:val="0000FF"/>
            <w:sz w:val="22"/>
            <w:u w:val="single" w:color="0000FF"/>
          </w:rPr>
          <w:t>europa.eu/european-union/contact-eu/meet-us_sk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EÚ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súvisiace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6"/>
        <w:ind w:left="369" w:right="114" w:firstLine="0"/>
        <w:jc w:val="left"/>
        <w:rPr>
          <w:sz w:val="22"/>
        </w:rPr>
      </w:pPr>
      <w:r>
        <w:rPr>
          <w:sz w:val="22"/>
        </w:rPr>
        <w:t>Prístup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právnym</w:t>
      </w:r>
      <w:r>
        <w:rPr>
          <w:spacing w:val="-4"/>
          <w:sz w:val="22"/>
        </w:rPr>
        <w:t> </w:t>
      </w:r>
      <w:r>
        <w:rPr>
          <w:sz w:val="22"/>
        </w:rPr>
        <w:t>informáciám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vrátane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právnych</w:t>
      </w:r>
      <w:r>
        <w:rPr>
          <w:spacing w:val="-4"/>
          <w:sz w:val="22"/>
        </w:rPr>
        <w:t> </w:t>
      </w:r>
      <w:r>
        <w:rPr>
          <w:sz w:val="22"/>
        </w:rPr>
        <w:t>predpisov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vo všetkých úradných jazykoch nájdete na webovej stránke EUR-Lexu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Otvorené</w:t>
      </w:r>
      <w:r>
        <w:rPr>
          <w:spacing w:val="-7"/>
        </w:rPr>
        <w:t> </w:t>
      </w:r>
      <w:r>
        <w:rPr/>
        <w:t>údaje</w:t>
      </w:r>
      <w:r>
        <w:rPr>
          <w:spacing w:val="-6"/>
        </w:rPr>
        <w:t> </w:t>
      </w:r>
      <w:r>
        <w:rPr>
          <w:spacing w:val="-5"/>
        </w:rPr>
        <w:t>EÚ</w:t>
      </w:r>
    </w:p>
    <w:p>
      <w:pPr>
        <w:spacing w:line="290" w:lineRule="auto" w:before="167"/>
        <w:ind w:left="369" w:right="122" w:firstLine="0"/>
        <w:jc w:val="left"/>
        <w:rPr>
          <w:sz w:val="22"/>
        </w:rPr>
      </w:pPr>
      <w:r>
        <w:rPr>
          <w:sz w:val="22"/>
        </w:rPr>
        <w:t>Portál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poskytuje prístup k otvoreným súborom údajov – datasetom z inštitúcií, orgánov a agentúr EÚ. Dáta možno stiahnuť a opätovne bezplatne použiť na komerčné aj nekomerčné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účely.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Portál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poskytuje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prístup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aj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mnohým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súborom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údajov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–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datasetom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európskych </w:t>
      </w:r>
      <w:r>
        <w:rPr>
          <w:spacing w:val="-2"/>
          <w:sz w:val="22"/>
          <w:u w:val="none"/>
        </w:rPr>
        <w:t>krajín.</w:t>
      </w:r>
    </w:p>
    <w:sectPr>
      <w:pgSz w:w="11910" w:h="16840"/>
      <w:pgMar w:top="600" w:bottom="280" w:left="708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719" w:hanging="40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678" w:hanging="4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637" w:hanging="4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596" w:hanging="4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555" w:hanging="4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514" w:hanging="4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473" w:hanging="4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432" w:hanging="400"/>
      </w:pPr>
      <w:rPr>
        <w:rFonts w:hint="default"/>
        <w:lang w:val="sk-SK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377" w:hanging="30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374" w:hanging="3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371" w:hanging="3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368" w:hanging="3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365" w:hanging="3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362" w:hanging="3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359" w:hanging="3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356" w:hanging="300"/>
      </w:pPr>
      <w:rPr>
        <w:rFonts w:hint="default"/>
        <w:lang w:val="sk-SK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467" w:hanging="38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454" w:hanging="38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441" w:hanging="38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428" w:hanging="38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415" w:hanging="38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402" w:hanging="38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389" w:hanging="38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376" w:hanging="380"/>
      </w:pPr>
      <w:rPr>
        <w:rFonts w:hint="default"/>
        <w:lang w:val="sk-SK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k-SK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sk-SK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sk-SK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sk-SK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sk-SK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k-SK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a.eu/european-union/contact-eu/meet-us_sk" TargetMode="External"/><Relationship Id="rId11" Type="http://schemas.openxmlformats.org/officeDocument/2006/relationships/hyperlink" Target="https://europa.eu/european-union/contact-eu/write-us_sk" TargetMode="External"/><Relationship Id="rId12" Type="http://schemas.openxmlformats.org/officeDocument/2006/relationships/hyperlink" Target="https://european-union.europa.eu/index_sk" TargetMode="External"/><Relationship Id="rId13" Type="http://schemas.openxmlformats.org/officeDocument/2006/relationships/hyperlink" Target="https://op.europa.eu/sk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sk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SK</dc:title>
  <dcterms:created xsi:type="dcterms:W3CDTF">2025-06-16T09:50:35Z</dcterms:created>
  <dcterms:modified xsi:type="dcterms:W3CDTF">2025-06-16T09:50:35Z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