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an Union executive agencies – PL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PL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40" w:lineRule="atLeast"/>
        <w:ind w:right="1773"/>
      </w:pPr>
      <w:r>
        <w:rPr/>
        <w:t>Wydanie</w:t>
      </w:r>
      <w:r>
        <w:rPr>
          <w:spacing w:val="-6"/>
        </w:rPr>
        <w:t> </w:t>
      </w:r>
      <w:r>
        <w:rPr/>
        <w:t>zmienione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Wydanie</w:t>
      </w:r>
      <w:r>
        <w:rPr>
          <w:spacing w:val="-6"/>
        </w:rPr>
        <w:t> </w:t>
      </w:r>
      <w:r>
        <w:rPr/>
        <w:t>poprawione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Wydanie</w:t>
      </w:r>
      <w:r>
        <w:rPr>
          <w:spacing w:val="-6"/>
        </w:rPr>
        <w:t> </w:t>
      </w:r>
      <w:r>
        <w:rPr/>
        <w:t>pierwsze/Wydanie</w:t>
      </w:r>
      <w:r>
        <w:rPr>
          <w:spacing w:val="-6"/>
        </w:rPr>
        <w:t> </w:t>
      </w:r>
      <w:r>
        <w:rPr/>
        <w:t>drugie/Wydanie</w:t>
      </w:r>
      <w:r>
        <w:rPr>
          <w:spacing w:val="-6"/>
        </w:rPr>
        <w:t> </w:t>
      </w:r>
      <w:r>
        <w:rPr/>
        <w:t>n-te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773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Europejskiej. Luksemburg: Urząd Publikacji Unii Europejskiej, [rok]</w:t>
      </w:r>
    </w:p>
    <w:p>
      <w:pPr>
        <w:pStyle w:val="BodyText"/>
        <w:spacing w:line="348" w:lineRule="auto"/>
        <w:ind w:right="7474"/>
      </w:pPr>
      <w:r>
        <w:rPr/>
        <w:t>©</w:t>
      </w:r>
      <w:r>
        <w:rPr>
          <w:spacing w:val="-7"/>
        </w:rPr>
        <w:t> </w:t>
      </w:r>
      <w:r>
        <w:rPr/>
        <w:t>[Agencja</w:t>
      </w:r>
      <w:r>
        <w:rPr>
          <w:spacing w:val="-7"/>
        </w:rPr>
        <w:t> </w:t>
      </w:r>
      <w:r>
        <w:rPr/>
        <w:t>wykonawcza],</w:t>
      </w:r>
      <w:r>
        <w:rPr>
          <w:spacing w:val="-7"/>
        </w:rPr>
        <w:t> </w:t>
      </w:r>
      <w:r>
        <w:rPr/>
        <w:t>[rok]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177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[Agencja</w:t>
      </w:r>
      <w:r>
        <w:rPr>
          <w:spacing w:val="-4"/>
        </w:rPr>
        <w:t> </w:t>
      </w:r>
      <w:r>
        <w:rPr/>
        <w:t>wykonawcza],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Niektóre</w:t>
      </w:r>
      <w:r>
        <w:rPr>
          <w:spacing w:val="-4"/>
        </w:rPr>
        <w:t> </w:t>
      </w:r>
      <w:r>
        <w:rPr/>
        <w:t>treści</w:t>
      </w:r>
      <w:r>
        <w:rPr>
          <w:spacing w:val="-4"/>
        </w:rPr>
        <w:t> </w:t>
      </w:r>
      <w:r>
        <w:rPr/>
        <w:t>utworzono</w:t>
      </w:r>
      <w:r>
        <w:rPr>
          <w:spacing w:val="-4"/>
        </w:rPr>
        <w:t> </w:t>
      </w:r>
      <w:r>
        <w:rPr/>
        <w:t>przy</w:t>
      </w:r>
      <w:r>
        <w:rPr>
          <w:spacing w:val="-4"/>
        </w:rPr>
        <w:t> </w:t>
      </w:r>
      <w:r>
        <w:rPr/>
        <w:t>użyciu</w:t>
      </w:r>
      <w:r>
        <w:rPr>
          <w:spacing w:val="-4"/>
        </w:rPr>
        <w:t> </w:t>
      </w:r>
      <w:r>
        <w:rPr/>
        <w:t>[nazwa</w:t>
      </w:r>
      <w:r>
        <w:rPr>
          <w:spacing w:val="-4"/>
        </w:rPr>
        <w:t> </w:t>
      </w:r>
      <w:r>
        <w:rPr/>
        <w:t>narzędzia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572"/>
      </w:pPr>
      <w:r>
        <w:rPr/>
        <w:t>Agencje</w:t>
      </w:r>
      <w:r>
        <w:rPr>
          <w:spacing w:val="-4"/>
        </w:rPr>
        <w:t> </w:t>
      </w:r>
      <w:r>
        <w:rPr/>
        <w:t>wykonawcze</w:t>
      </w:r>
      <w:r>
        <w:rPr>
          <w:spacing w:val="-4"/>
        </w:rPr>
        <w:t> </w:t>
      </w:r>
      <w:r>
        <w:rPr/>
        <w:t>stosują</w:t>
      </w:r>
      <w:r>
        <w:rPr>
          <w:spacing w:val="-4"/>
        </w:rPr>
        <w:t> </w:t>
      </w:r>
      <w:r>
        <w:rPr/>
        <w:t>politykę</w:t>
      </w:r>
      <w:r>
        <w:rPr>
          <w:spacing w:val="-4"/>
        </w:rPr>
        <w:t> </w:t>
      </w:r>
      <w:r>
        <w:rPr/>
        <w:t>Komisji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zakresie</w:t>
      </w:r>
      <w:r>
        <w:rPr>
          <w:spacing w:val="-4"/>
        </w:rPr>
        <w:t> </w:t>
      </w:r>
      <w:r>
        <w:rPr/>
        <w:t>ponownego</w:t>
      </w:r>
      <w:r>
        <w:rPr>
          <w:spacing w:val="-4"/>
        </w:rPr>
        <w:t> </w:t>
      </w:r>
      <w:r>
        <w:rPr/>
        <w:t>wykorzystywania,</w:t>
      </w:r>
      <w:r>
        <w:rPr>
          <w:spacing w:val="-4"/>
        </w:rPr>
        <w:t> </w:t>
      </w:r>
      <w:r>
        <w:rPr/>
        <w:t>która</w:t>
      </w:r>
      <w:r>
        <w:rPr>
          <w:spacing w:val="-4"/>
        </w:rPr>
        <w:t> </w:t>
      </w:r>
      <w:r>
        <w:rPr/>
        <w:t>jest</w:t>
      </w:r>
      <w:r>
        <w:rPr>
          <w:spacing w:val="-4"/>
        </w:rPr>
        <w:t> </w:t>
      </w:r>
      <w:r>
        <w:rPr/>
        <w:t>realizowana na podstawie decyzj Komisji 2011/833/UE z dnia 12 grudnia 2011 r. w sprawie ponownego wykorzystywania dokumentów Komisji (Dz.U. L 330 z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O ile nie wskazano inaczej, ponowne wykorzystywanie niniejszego dokumentu jest dozwolone na podstawie licencji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Oznacza to, że ponowne wykorzystywanie jest dozwolone pod warunkiem odpowiedniego poinformowania o autorze oraz</w:t>
      </w:r>
    </w:p>
    <w:p>
      <w:pPr>
        <w:pStyle w:val="BodyText"/>
        <w:spacing w:line="228" w:lineRule="exact"/>
      </w:pPr>
      <w:r>
        <w:rPr/>
        <w:t>o</w:t>
      </w:r>
      <w:r>
        <w:rPr>
          <w:spacing w:val="-7"/>
        </w:rPr>
        <w:t> </w:t>
      </w:r>
      <w:r>
        <w:rPr/>
        <w:t>wszelkich</w:t>
      </w:r>
      <w:r>
        <w:rPr>
          <w:spacing w:val="-6"/>
        </w:rPr>
        <w:t> </w:t>
      </w:r>
      <w:r>
        <w:rPr/>
        <w:t>zmianach</w:t>
      </w:r>
      <w:r>
        <w:rPr>
          <w:spacing w:val="-7"/>
        </w:rPr>
        <w:t> </w:t>
      </w:r>
      <w:r>
        <w:rPr/>
        <w:t>wprowadzonych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>
          <w:spacing w:val="-2"/>
        </w:rPr>
        <w:t>dokumencie.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40"/>
      </w:pPr>
      <w:r>
        <w:rPr/>
        <w:t>W przypadku wykorzystania lub kopiowania elementów, które nie są własnością Unii Europejskiej lub [agencji wykonawczej],</w:t>
      </w:r>
      <w:r>
        <w:rPr>
          <w:spacing w:val="-4"/>
        </w:rPr>
        <w:t> </w:t>
      </w:r>
      <w:r>
        <w:rPr/>
        <w:t>konieczne</w:t>
      </w:r>
      <w:r>
        <w:rPr>
          <w:spacing w:val="-4"/>
        </w:rPr>
        <w:t> </w:t>
      </w:r>
      <w:r>
        <w:rPr/>
        <w:t>może</w:t>
      </w:r>
      <w:r>
        <w:rPr>
          <w:spacing w:val="-4"/>
        </w:rPr>
        <w:t> </w:t>
      </w:r>
      <w:r>
        <w:rPr/>
        <w:t>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 Unia Europejska lub [agencja wykonawcza] nie posiada 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7"/>
          <w:sz w:val="20"/>
        </w:rPr>
        <w:t> </w:t>
      </w:r>
      <w:r>
        <w:rPr>
          <w:sz w:val="20"/>
        </w:rPr>
        <w:t>informacja],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6"/>
          <w:sz w:val="20"/>
        </w:rPr>
        <w:t> </w:t>
      </w:r>
      <w:r>
        <w:rPr>
          <w:sz w:val="20"/>
        </w:rPr>
        <w:t>np.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wszelkie</w:t>
      </w:r>
      <w:r>
        <w:rPr>
          <w:spacing w:val="-7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47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</w:t>
      </w:r>
      <w:r>
        <w:rPr>
          <w:spacing w:val="-4"/>
          <w:sz w:val="20"/>
        </w:rPr>
        <w:t> </w:t>
      </w:r>
      <w:r>
        <w:rPr>
          <w:sz w:val="20"/>
        </w:rPr>
        <w:t>licencji</w:t>
      </w:r>
      <w:r>
        <w:rPr>
          <w:spacing w:val="-4"/>
          <w:sz w:val="20"/>
        </w:rPr>
        <w:t> </w:t>
      </w:r>
      <w:r>
        <w:rPr>
          <w:sz w:val="20"/>
        </w:rPr>
        <w:t>CC BY 2.0 [+ link do licencji],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W przypadku wykorzystania lub kopiowania elementów, które nie są własnością Unii Europejskiej lub [agencji wykonawczej],</w:t>
      </w:r>
      <w:r>
        <w:rPr>
          <w:spacing w:val="-4"/>
        </w:rPr>
        <w:t> </w:t>
      </w:r>
      <w:r>
        <w:rPr/>
        <w:t>konieczne</w:t>
      </w:r>
      <w:r>
        <w:rPr>
          <w:spacing w:val="-4"/>
        </w:rPr>
        <w:t> </w:t>
      </w:r>
      <w:r>
        <w:rPr/>
        <w:t>może</w:t>
      </w:r>
      <w:r>
        <w:rPr>
          <w:spacing w:val="-4"/>
        </w:rPr>
        <w:t> </w:t>
      </w:r>
      <w:r>
        <w:rPr/>
        <w:t>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572" w:firstLine="0"/>
        <w:jc w:val="left"/>
        <w:rPr>
          <w:sz w:val="18"/>
        </w:rPr>
      </w:pPr>
      <w:r>
        <w:rPr>
          <w:sz w:val="18"/>
        </w:rPr>
        <w:t>Ponowne</w:t>
      </w:r>
      <w:r>
        <w:rPr>
          <w:spacing w:val="-4"/>
          <w:sz w:val="18"/>
        </w:rPr>
        <w:t> </w:t>
      </w:r>
      <w:r>
        <w:rPr>
          <w:sz w:val="18"/>
        </w:rPr>
        <w:t>wykorzystanie</w:t>
      </w:r>
      <w:r>
        <w:rPr>
          <w:spacing w:val="-4"/>
          <w:sz w:val="18"/>
        </w:rPr>
        <w:t> </w:t>
      </w:r>
      <w:r>
        <w:rPr>
          <w:sz w:val="18"/>
        </w:rPr>
        <w:t>dozwolone</w:t>
      </w:r>
      <w:r>
        <w:rPr>
          <w:spacing w:val="-4"/>
          <w:sz w:val="18"/>
        </w:rPr>
        <w:t> </w:t>
      </w:r>
      <w:r>
        <w:rPr>
          <w:sz w:val="18"/>
        </w:rPr>
        <w:t>pod</w:t>
      </w:r>
      <w:r>
        <w:rPr>
          <w:spacing w:val="-4"/>
          <w:sz w:val="18"/>
        </w:rPr>
        <w:t> </w:t>
      </w:r>
      <w:r>
        <w:rPr>
          <w:sz w:val="18"/>
        </w:rPr>
        <w:t>warunkiem</w:t>
      </w:r>
      <w:r>
        <w:rPr>
          <w:spacing w:val="-4"/>
          <w:sz w:val="18"/>
        </w:rPr>
        <w:t> </w:t>
      </w:r>
      <w:r>
        <w:rPr>
          <w:sz w:val="18"/>
        </w:rPr>
        <w:t>podania</w:t>
      </w:r>
      <w:r>
        <w:rPr>
          <w:spacing w:val="-4"/>
          <w:sz w:val="18"/>
        </w:rPr>
        <w:t> </w:t>
      </w:r>
      <w:r>
        <w:rPr>
          <w:sz w:val="18"/>
        </w:rPr>
        <w:t>źródła</w:t>
      </w:r>
      <w:r>
        <w:rPr>
          <w:spacing w:val="-4"/>
          <w:sz w:val="18"/>
        </w:rPr>
        <w:t> </w:t>
      </w:r>
      <w:r>
        <w:rPr>
          <w:sz w:val="18"/>
        </w:rPr>
        <w:t>oraz</w:t>
      </w:r>
      <w:r>
        <w:rPr>
          <w:spacing w:val="-4"/>
          <w:sz w:val="18"/>
        </w:rPr>
        <w:t> </w:t>
      </w:r>
      <w:r>
        <w:rPr>
          <w:sz w:val="18"/>
        </w:rPr>
        <w:t>niezmieniania</w:t>
      </w:r>
      <w:r>
        <w:rPr>
          <w:spacing w:val="-4"/>
          <w:sz w:val="18"/>
        </w:rPr>
        <w:t> </w:t>
      </w:r>
      <w:r>
        <w:rPr>
          <w:sz w:val="18"/>
        </w:rPr>
        <w:t>oryginalnego</w:t>
      </w:r>
      <w:r>
        <w:rPr>
          <w:spacing w:val="-4"/>
          <w:sz w:val="18"/>
        </w:rPr>
        <w:t> </w:t>
      </w:r>
      <w:r>
        <w:rPr>
          <w:sz w:val="18"/>
        </w:rPr>
        <w:t>znaczenia</w:t>
      </w:r>
      <w:r>
        <w:rPr>
          <w:spacing w:val="-4"/>
          <w:sz w:val="18"/>
        </w:rPr>
        <w:t> </w:t>
      </w:r>
      <w:r>
        <w:rPr>
          <w:sz w:val="18"/>
        </w:rPr>
        <w:t>lub przekazu</w:t>
      </w:r>
      <w:r>
        <w:rPr>
          <w:spacing w:val="-4"/>
          <w:sz w:val="18"/>
        </w:rPr>
        <w:t> </w:t>
      </w:r>
      <w:r>
        <w:rPr>
          <w:sz w:val="18"/>
        </w:rPr>
        <w:t>niniejszego</w:t>
      </w:r>
      <w:r>
        <w:rPr>
          <w:spacing w:val="-4"/>
          <w:sz w:val="18"/>
        </w:rPr>
        <w:t> </w:t>
      </w:r>
      <w:r>
        <w:rPr>
          <w:sz w:val="18"/>
        </w:rPr>
        <w:t>dokumentu.</w:t>
      </w:r>
      <w:r>
        <w:rPr>
          <w:spacing w:val="-4"/>
          <w:sz w:val="18"/>
        </w:rPr>
        <w:t> </w:t>
      </w:r>
      <w:r>
        <w:rPr>
          <w:sz w:val="18"/>
        </w:rPr>
        <w:t>Komisja</w:t>
      </w:r>
      <w:r>
        <w:rPr>
          <w:spacing w:val="-4"/>
          <w:sz w:val="18"/>
        </w:rPr>
        <w:t> </w:t>
      </w:r>
      <w:r>
        <w:rPr>
          <w:sz w:val="18"/>
        </w:rPr>
        <w:t>Europejska</w:t>
      </w:r>
      <w:r>
        <w:rPr>
          <w:spacing w:val="-4"/>
          <w:sz w:val="18"/>
        </w:rPr>
        <w:t> </w:t>
      </w:r>
      <w:r>
        <w:rPr>
          <w:sz w:val="18"/>
        </w:rPr>
        <w:t>nie</w:t>
      </w:r>
      <w:r>
        <w:rPr>
          <w:spacing w:val="-4"/>
          <w:sz w:val="18"/>
        </w:rPr>
        <w:t> </w:t>
      </w:r>
      <w:r>
        <w:rPr>
          <w:sz w:val="18"/>
        </w:rPr>
        <w:t>ponosi</w:t>
      </w:r>
      <w:r>
        <w:rPr>
          <w:spacing w:val="-4"/>
          <w:sz w:val="18"/>
        </w:rPr>
        <w:t> </w:t>
      </w:r>
      <w:r>
        <w:rPr>
          <w:sz w:val="18"/>
        </w:rPr>
        <w:t>odpowiedzialności</w:t>
      </w:r>
      <w:r>
        <w:rPr>
          <w:spacing w:val="-4"/>
          <w:sz w:val="18"/>
        </w:rPr>
        <w:t> </w:t>
      </w:r>
      <w:r>
        <w:rPr>
          <w:sz w:val="18"/>
        </w:rPr>
        <w:t>za</w:t>
      </w:r>
      <w:r>
        <w:rPr>
          <w:spacing w:val="-4"/>
          <w:sz w:val="18"/>
        </w:rPr>
        <w:t> </w:t>
      </w:r>
      <w:r>
        <w:rPr>
          <w:sz w:val="18"/>
        </w:rPr>
        <w:t>jakiekolwiek</w:t>
      </w:r>
      <w:r>
        <w:rPr>
          <w:spacing w:val="-4"/>
          <w:sz w:val="18"/>
        </w:rPr>
        <w:t> </w:t>
      </w:r>
      <w:r>
        <w:rPr>
          <w:sz w:val="18"/>
        </w:rPr>
        <w:t>konsekwencje wynikające z ponownego wykorzystania. Komisja Europejska wdrożyła politykę ponownego wykorzystywania swoich dokumentów na podstawie decyzji Komisji 2011/833/UE z dnia 12 grudnia 2011 r. w sprawie ponownego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wykorzystywania</w:t>
      </w:r>
      <w:r>
        <w:rPr>
          <w:spacing w:val="-8"/>
          <w:sz w:val="18"/>
        </w:rPr>
        <w:t> </w:t>
      </w:r>
      <w:r>
        <w:rPr>
          <w:sz w:val="18"/>
        </w:rPr>
        <w:t>dokumentów</w:t>
      </w:r>
      <w:r>
        <w:rPr>
          <w:spacing w:val="-6"/>
          <w:sz w:val="18"/>
        </w:rPr>
        <w:t> </w:t>
      </w:r>
      <w:r>
        <w:rPr>
          <w:sz w:val="18"/>
        </w:rPr>
        <w:t>Komisji</w:t>
      </w:r>
      <w:r>
        <w:rPr>
          <w:spacing w:val="-5"/>
          <w:sz w:val="18"/>
        </w:rPr>
        <w:t> </w:t>
      </w:r>
      <w:r>
        <w:rPr>
          <w:sz w:val="18"/>
        </w:rPr>
        <w:t>(Dz.U.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</w:t>
      </w:r>
      <w:r>
        <w:rPr>
          <w:spacing w:val="-5"/>
          <w:sz w:val="18"/>
        </w:rPr>
        <w:t> </w:t>
      </w:r>
      <w:r>
        <w:rPr>
          <w:sz w:val="18"/>
        </w:rPr>
        <w:t>z</w:t>
      </w:r>
      <w:r>
        <w:rPr>
          <w:spacing w:val="-6"/>
          <w:sz w:val="18"/>
        </w:rPr>
        <w:t> </w:t>
      </w:r>
      <w:r>
        <w:rPr>
          <w:sz w:val="18"/>
        </w:rPr>
        <w:t>14.12.2011,</w:t>
      </w:r>
      <w:r>
        <w:rPr>
          <w:spacing w:val="-6"/>
          <w:sz w:val="18"/>
        </w:rPr>
        <w:t> </w:t>
      </w:r>
      <w:r>
        <w:rPr>
          <w:sz w:val="18"/>
        </w:rPr>
        <w:t>s.</w:t>
      </w:r>
      <w:r>
        <w:rPr>
          <w:spacing w:val="-5"/>
          <w:sz w:val="18"/>
        </w:rPr>
        <w:t> </w:t>
      </w:r>
      <w:r>
        <w:rPr>
          <w:sz w:val="18"/>
        </w:rPr>
        <w:t>39,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5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Luksemburgu</w:t>
      </w:r>
      <w:r>
        <w:rPr>
          <w:spacing w:val="-8"/>
        </w:rPr>
        <w:t> </w:t>
      </w:r>
      <w:r>
        <w:rPr/>
        <w:t>(bez</w:t>
      </w:r>
      <w:r>
        <w:rPr>
          <w:spacing w:val="-8"/>
        </w:rPr>
        <w:t> </w:t>
      </w:r>
      <w:r>
        <w:rPr/>
        <w:t>VAT):</w:t>
      </w:r>
      <w:r>
        <w:rPr>
          <w:spacing w:val="-8"/>
        </w:rPr>
        <w:t> </w:t>
      </w:r>
      <w:r>
        <w:rPr/>
        <w:t>…</w:t>
      </w:r>
      <w:r>
        <w:rPr>
          <w:spacing w:val="-8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</w:t>
      </w:r>
      <w:r>
        <w:rPr>
          <w:spacing w:val="-4"/>
          <w:sz w:val="22"/>
        </w:rPr>
        <w:t> </w:t>
      </w:r>
      <w:r>
        <w:rPr>
          <w:sz w:val="22"/>
        </w:rPr>
        <w:t>można znaleźć na stronie: 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7"/>
        <w:ind w:left="437" w:right="57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37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4"/>
          <w:sz w:val="22"/>
        </w:rPr>
        <w:t> </w:t>
      </w:r>
      <w:r>
        <w:rPr>
          <w:sz w:val="22"/>
        </w:rPr>
        <w:t>pod</w:t>
      </w:r>
      <w:r>
        <w:rPr>
          <w:spacing w:val="-4"/>
          <w:sz w:val="22"/>
        </w:rPr>
        <w:t> </w:t>
      </w:r>
      <w:r>
        <w:rPr>
          <w:sz w:val="22"/>
        </w:rPr>
        <w:t>bezpłatny</w:t>
      </w:r>
      <w:r>
        <w:rPr>
          <w:spacing w:val="-4"/>
          <w:sz w:val="22"/>
        </w:rPr>
        <w:t> </w:t>
      </w:r>
      <w:r>
        <w:rPr>
          <w:sz w:val="22"/>
        </w:rPr>
        <w:t>numer</w:t>
      </w:r>
      <w:r>
        <w:rPr>
          <w:spacing w:val="-4"/>
          <w:sz w:val="22"/>
        </w:rPr>
        <w:t> </w:t>
      </w:r>
      <w:r>
        <w:rPr>
          <w:sz w:val="22"/>
        </w:rPr>
        <w:t>telefonu: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(niektórzy</w:t>
      </w:r>
      <w:r>
        <w:rPr>
          <w:spacing w:val="-4"/>
          <w:sz w:val="22"/>
        </w:rPr>
        <w:t> </w:t>
      </w:r>
      <w:r>
        <w:rPr>
          <w:sz w:val="22"/>
        </w:rPr>
        <w:t>operatorzy</w:t>
      </w:r>
      <w:r>
        <w:rPr>
          <w:spacing w:val="-4"/>
          <w:sz w:val="22"/>
        </w:rPr>
        <w:t> </w:t>
      </w:r>
      <w:r>
        <w:rPr>
          <w:sz w:val="22"/>
        </w:rPr>
        <w:t>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57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6"/>
        <w:ind w:left="437" w:right="421" w:firstLine="0"/>
        <w:jc w:val="left"/>
        <w:rPr>
          <w:sz w:val="22"/>
        </w:rPr>
      </w:pPr>
      <w:r>
        <w:rPr>
          <w:sz w:val="22"/>
        </w:rPr>
        <w:t>Publikacje</w:t>
      </w:r>
      <w:r>
        <w:rPr>
          <w:spacing w:val="-5"/>
          <w:sz w:val="22"/>
        </w:rPr>
        <w:t> </w:t>
      </w:r>
      <w:r>
        <w:rPr>
          <w:sz w:val="22"/>
        </w:rPr>
        <w:t>UE</w:t>
      </w:r>
      <w:r>
        <w:rPr>
          <w:spacing w:val="-5"/>
          <w:sz w:val="22"/>
        </w:rPr>
        <w:t> </w:t>
      </w:r>
      <w:r>
        <w:rPr>
          <w:sz w:val="22"/>
        </w:rPr>
        <w:t>można</w:t>
      </w:r>
      <w:r>
        <w:rPr>
          <w:spacing w:val="-5"/>
          <w:sz w:val="22"/>
        </w:rPr>
        <w:t> </w:t>
      </w:r>
      <w:r>
        <w:rPr>
          <w:sz w:val="22"/>
        </w:rPr>
        <w:t>obejrzeć</w:t>
      </w:r>
      <w:r>
        <w:rPr>
          <w:spacing w:val="-5"/>
          <w:sz w:val="22"/>
        </w:rPr>
        <w:t> </w:t>
      </w:r>
      <w:r>
        <w:rPr>
          <w:sz w:val="22"/>
        </w:rPr>
        <w:t>lub</w:t>
      </w:r>
      <w:r>
        <w:rPr>
          <w:spacing w:val="-5"/>
          <w:sz w:val="22"/>
        </w:rPr>
        <w:t> </w:t>
      </w:r>
      <w:r>
        <w:rPr>
          <w:sz w:val="22"/>
        </w:rPr>
        <w:t>zamówić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stronie: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op.europa.eu/pl/publications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Większą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liczbę egzemplarzy bezpłatnych publikacji można otrzymać, kontaktując się z serwisem Europe Direct lub</w:t>
      </w:r>
      <w:r>
        <w:rPr>
          <w:sz w:val="22"/>
          <w:u w:val="none"/>
        </w:rPr>
        <w:t> z lokalnym centrum dokumentacji europejskiej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7"/>
        <w:ind w:left="437" w:right="75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line="290" w:lineRule="auto" w:before="166"/>
        <w:ind w:left="437" w:right="572" w:firstLine="0"/>
        <w:jc w:val="left"/>
        <w:rPr>
          <w:sz w:val="22"/>
        </w:rPr>
      </w:pPr>
      <w:r>
        <w:rPr>
          <w:sz w:val="22"/>
        </w:rPr>
        <w:t>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zapewnia dostęp do otwartych zbiorów danych pochodzących z instytucji, organów i agencji UE. Dane te można pobierać i wykorzystywać bezpłatnie, zarówno do celów komercyjnych,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niekomercyjnych.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umożliwia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również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wielu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 krajów europejskich.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l" TargetMode="External"/><Relationship Id="rId11" Type="http://schemas.openxmlformats.org/officeDocument/2006/relationships/hyperlink" Target="https://european-union.europa.eu/contact-eu/write-us_pl" TargetMode="External"/><Relationship Id="rId12" Type="http://schemas.openxmlformats.org/officeDocument/2006/relationships/hyperlink" Target="https://european-union.europa.eu/index_pl" TargetMode="External"/><Relationship Id="rId13" Type="http://schemas.openxmlformats.org/officeDocument/2006/relationships/hyperlink" Target="https://op.europa.eu/p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PL</dc:title>
  <dcterms:created xsi:type="dcterms:W3CDTF">2025-04-28T11:38:54Z</dcterms:created>
  <dcterms:modified xsi:type="dcterms:W3CDTF">2025-04-28T11:38:54Z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