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S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85" w:right="4759"/>
      </w:pPr>
      <w:r>
        <w:rPr/>
        <w:t>Revidirana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Popravljena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Prva/Druga/n.</w:t>
      </w:r>
      <w:r>
        <w:rPr>
          <w:spacing w:val="-6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4759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348" w:lineRule="auto"/>
        <w:ind w:left="85" w:right="7399"/>
      </w:pPr>
      <w:r>
        <w:rPr/>
        <w:t>©</w:t>
      </w:r>
      <w:r>
        <w:rPr>
          <w:spacing w:val="-14"/>
        </w:rPr>
        <w:t> </w:t>
      </w:r>
      <w:r>
        <w:rPr/>
        <w:t>[Izvajalska</w:t>
      </w:r>
      <w:r>
        <w:rPr>
          <w:spacing w:val="-14"/>
        </w:rPr>
        <w:t> </w:t>
      </w:r>
      <w:r>
        <w:rPr/>
        <w:t>agencija],</w:t>
      </w:r>
      <w:r>
        <w:rPr>
          <w:spacing w:val="-13"/>
        </w:rPr>
        <w:t> </w:t>
      </w:r>
      <w:r>
        <w:rPr/>
        <w:t>[letnica]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left="85" w:right="15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[Izvajalska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[letnica].</w:t>
      </w:r>
      <w:r>
        <w:rPr>
          <w:spacing w:val="-4"/>
        </w:rPr>
        <w:t> </w:t>
      </w:r>
      <w:r>
        <w:rPr/>
        <w:t>Vsebina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bila</w:t>
      </w:r>
      <w:r>
        <w:rPr>
          <w:spacing w:val="-4"/>
        </w:rPr>
        <w:t> </w:t>
      </w:r>
      <w:r>
        <w:rPr/>
        <w:t>deloma</w:t>
      </w:r>
      <w:r>
        <w:rPr>
          <w:spacing w:val="-4"/>
        </w:rPr>
        <w:t> </w:t>
      </w:r>
      <w:r>
        <w:rPr/>
        <w:t>ustvarjena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[ime</w:t>
      </w:r>
      <w:r>
        <w:rPr>
          <w:spacing w:val="-4"/>
        </w:rPr>
        <w:t> </w:t>
      </w:r>
      <w:r>
        <w:rPr/>
        <w:t>orodja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450"/>
        <w:jc w:val="both"/>
      </w:pPr>
      <w:r>
        <w:rPr/>
        <w:t>Izvajalske agencije uporabljajo politiko Komisije glede ponovne uporabe, ki se izvaja na podlagi Sklepa Komisije 2011/833/EU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dne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ponovni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(UL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/>
      </w:pPr>
      <w:r>
        <w:rPr/>
        <w:t>Če ni drugače navedeno, je ponovna uporaba tega dokumenta dovoljena na podlagi licence Creative Commons 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pomeni,</w:t>
      </w:r>
      <w:r>
        <w:rPr>
          <w:spacing w:val="-7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</w:t>
      </w:r>
      <w:r>
        <w:rPr>
          <w:spacing w:val="-6"/>
          <w:u w:val="none"/>
        </w:rPr>
        <w:t> </w:t>
      </w:r>
      <w:r>
        <w:rPr>
          <w:u w:val="none"/>
        </w:rPr>
        <w:t>ponovna uporaba dovoljena, če je ustrezno naveden vir in so označene morebitne spremembe.</w:t>
      </w:r>
    </w:p>
    <w:p>
      <w:pPr>
        <w:pStyle w:val="BodyText"/>
        <w:spacing w:before="74"/>
      </w:pPr>
    </w:p>
    <w:p>
      <w:pPr>
        <w:pStyle w:val="BodyText"/>
        <w:ind w:left="85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 w:right="854"/>
        <w:jc w:val="both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[izvajalske</w:t>
      </w:r>
      <w:r>
        <w:rPr>
          <w:spacing w:val="-4"/>
        </w:rPr>
        <w:t> </w:t>
      </w:r>
      <w:r>
        <w:rPr/>
        <w:t>agencije],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 dovoljenje</w:t>
      </w:r>
      <w:r>
        <w:rPr>
          <w:spacing w:val="-2"/>
        </w:rPr>
        <w:t> </w:t>
      </w:r>
      <w:r>
        <w:rPr/>
        <w:t>zaprositi</w:t>
      </w:r>
      <w:r>
        <w:rPr>
          <w:spacing w:val="-2"/>
        </w:rPr>
        <w:t> </w:t>
      </w:r>
      <w:r>
        <w:rPr/>
        <w:t>neposredno</w:t>
      </w:r>
      <w:r>
        <w:rPr>
          <w:spacing w:val="-2"/>
        </w:rPr>
        <w:t> </w:t>
      </w:r>
      <w:r>
        <w:rPr/>
        <w:t>imetnike</w:t>
      </w:r>
      <w:r>
        <w:rPr>
          <w:spacing w:val="-2"/>
        </w:rPr>
        <w:t> </w:t>
      </w:r>
      <w:r>
        <w:rPr/>
        <w:t>pravic.</w:t>
      </w:r>
      <w:r>
        <w:rPr>
          <w:spacing w:val="-1"/>
        </w:rPr>
        <w:t> </w:t>
      </w:r>
      <w:r>
        <w:rPr/>
        <w:t>Evropska</w:t>
      </w:r>
      <w:r>
        <w:rPr>
          <w:spacing w:val="-2"/>
        </w:rPr>
        <w:t> </w:t>
      </w:r>
      <w:r>
        <w:rPr/>
        <w:t>unija</w:t>
      </w:r>
      <w:r>
        <w:rPr>
          <w:spacing w:val="-2"/>
        </w:rPr>
        <w:t> </w:t>
      </w:r>
      <w:r>
        <w:rPr/>
        <w:t>ali</w:t>
      </w:r>
      <w:r>
        <w:rPr>
          <w:spacing w:val="-2"/>
        </w:rPr>
        <w:t> </w:t>
      </w:r>
      <w:r>
        <w:rPr/>
        <w:t>[izvajalska</w:t>
      </w:r>
      <w:r>
        <w:rPr>
          <w:spacing w:val="-2"/>
        </w:rPr>
        <w:t> </w:t>
      </w:r>
      <w:r>
        <w:rPr/>
        <w:t>agencija]</w:t>
      </w:r>
      <w:r>
        <w:rPr>
          <w:spacing w:val="-2"/>
        </w:rPr>
        <w:t> </w:t>
      </w:r>
      <w:r>
        <w:rPr/>
        <w:t>ni</w:t>
      </w:r>
      <w:r>
        <w:rPr>
          <w:spacing w:val="-2"/>
        </w:rPr>
        <w:t> </w:t>
      </w:r>
      <w:r>
        <w:rPr/>
        <w:t>[imetnica/imetnik]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 w:right="854"/>
        <w:jc w:val="both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[izvajalske</w:t>
      </w:r>
      <w:r>
        <w:rPr>
          <w:spacing w:val="-4"/>
        </w:rPr>
        <w:t> </w:t>
      </w:r>
      <w:r>
        <w:rPr/>
        <w:t>agencije],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 dovoljenje zaprositi neposredno imetnike pravic.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113" w:firstLine="0"/>
        <w:jc w:val="left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</w:t>
      </w:r>
      <w:r>
        <w:rPr>
          <w:sz w:val="18"/>
        </w:rPr>
        <w:t> Evropska komisija ni odgovorna za posledice ponovne uporabe. Politiko ponovne uporabe dokumentov Evropske komisije</w:t>
      </w:r>
      <w:r>
        <w:rPr>
          <w:spacing w:val="-4"/>
          <w:sz w:val="18"/>
        </w:rPr>
        <w:t> </w:t>
      </w:r>
      <w:r>
        <w:rPr>
          <w:sz w:val="18"/>
        </w:rPr>
        <w:t>ureja</w:t>
      </w:r>
      <w:r>
        <w:rPr>
          <w:spacing w:val="-4"/>
          <w:sz w:val="18"/>
        </w:rPr>
        <w:t> </w:t>
      </w:r>
      <w:r>
        <w:rPr>
          <w:sz w:val="18"/>
        </w:rPr>
        <w:t>Sklep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2011/833/EU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4"/>
          <w:sz w:val="18"/>
        </w:rPr>
        <w:t> </w:t>
      </w:r>
      <w:r>
        <w:rPr>
          <w:sz w:val="18"/>
        </w:rPr>
        <w:t>dne</w:t>
      </w:r>
      <w:r>
        <w:rPr>
          <w:spacing w:val="-4"/>
          <w:sz w:val="18"/>
        </w:rPr>
        <w:t> </w:t>
      </w:r>
      <w:r>
        <w:rPr>
          <w:sz w:val="18"/>
        </w:rPr>
        <w:t>12.</w:t>
      </w:r>
      <w:r>
        <w:rPr>
          <w:spacing w:val="-4"/>
          <w:sz w:val="18"/>
        </w:rPr>
        <w:t> </w:t>
      </w:r>
      <w:r>
        <w:rPr>
          <w:sz w:val="18"/>
        </w:rPr>
        <w:t>decembra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ponovni</w:t>
      </w:r>
      <w:r>
        <w:rPr>
          <w:spacing w:val="-4"/>
          <w:sz w:val="18"/>
        </w:rPr>
        <w:t> </w:t>
      </w:r>
      <w:r>
        <w:rPr>
          <w:sz w:val="18"/>
        </w:rPr>
        <w:t>uporabi</w:t>
      </w:r>
      <w:r>
        <w:rPr>
          <w:spacing w:val="-4"/>
          <w:sz w:val="18"/>
        </w:rPr>
        <w:t> </w:t>
      </w:r>
      <w:r>
        <w:rPr>
          <w:sz w:val="18"/>
        </w:rPr>
        <w:t>dokumentov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(UL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 14.12.2011, str.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369" w:right="393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66" w:after="0"/>
        <w:ind w:left="759" w:right="630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796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3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4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393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6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SL</dc:title>
  <dcterms:created xsi:type="dcterms:W3CDTF">2025-06-16T09:50:38Z</dcterms:created>
  <dcterms:modified xsi:type="dcterms:W3CDTF">2025-06-16T09:50:38Z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