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P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PT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right="4300"/>
      </w:pPr>
      <w:r>
        <w:rPr/>
        <w:t>Edição</w:t>
      </w:r>
      <w:r>
        <w:rPr>
          <w:spacing w:val="-6"/>
        </w:rPr>
        <w:t> </w:t>
      </w:r>
      <w:r>
        <w:rPr/>
        <w:t>revista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Edição</w:t>
      </w:r>
      <w:r>
        <w:rPr>
          <w:spacing w:val="-6"/>
        </w:rPr>
        <w:t> </w:t>
      </w:r>
      <w:r>
        <w:rPr/>
        <w:t>corrigida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6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640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348" w:lineRule="auto"/>
        <w:ind w:right="7408"/>
      </w:pPr>
      <w:r>
        <w:rPr/>
        <w:t>©</w:t>
      </w:r>
      <w:r>
        <w:rPr>
          <w:spacing w:val="-10"/>
        </w:rPr>
        <w:t> </w:t>
      </w:r>
      <w:r>
        <w:rPr/>
        <w:t>[Agência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execução],</w:t>
      </w:r>
      <w:r>
        <w:rPr>
          <w:spacing w:val="-10"/>
        </w:rPr>
        <w:t> </w:t>
      </w:r>
      <w:r>
        <w:rPr/>
        <w:t>[ano]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right="64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3"/>
        </w:rPr>
        <w:t> </w:t>
      </w:r>
      <w:r>
        <w:rPr/>
        <w:t>[Agência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execução],</w:t>
      </w:r>
      <w:r>
        <w:rPr>
          <w:spacing w:val="-3"/>
        </w:rPr>
        <w:t> </w:t>
      </w:r>
      <w:r>
        <w:rPr/>
        <w:t>[ano].</w:t>
      </w:r>
      <w:r>
        <w:rPr>
          <w:spacing w:val="-3"/>
        </w:rPr>
        <w:t> </w:t>
      </w:r>
      <w:r>
        <w:rPr/>
        <w:t>Alguns</w:t>
      </w:r>
      <w:r>
        <w:rPr>
          <w:spacing w:val="-3"/>
        </w:rPr>
        <w:t> </w:t>
      </w:r>
      <w:r>
        <w:rPr/>
        <w:t>conteúdos</w:t>
      </w:r>
      <w:r>
        <w:rPr>
          <w:spacing w:val="-3"/>
        </w:rPr>
        <w:t> </w:t>
      </w:r>
      <w:r>
        <w:rPr/>
        <w:t>foram</w:t>
      </w:r>
      <w:r>
        <w:rPr>
          <w:spacing w:val="-3"/>
        </w:rPr>
        <w:t> </w:t>
      </w:r>
      <w:r>
        <w:rPr/>
        <w:t>criados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ferramenta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7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1989899</wp:posOffset>
                </wp:positionH>
                <wp:positionV relativeFrom="paragraph">
                  <wp:posOffset>428559</wp:posOffset>
                </wp:positionV>
                <wp:extent cx="2262505" cy="381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226250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2505" h="3810">
                              <a:moveTo>
                                <a:pt x="226237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262377" y="0"/>
                              </a:lnTo>
                              <a:lnTo>
                                <a:pt x="226237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56.684998pt;margin-top:33.744808pt;width:178.139999pt;height:.263pt;mso-position-horizontal-relative:page;mso-position-vertical-relative:paragraph;z-index:15729664" id="docshape7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As agências de execução aplicam a política de reutilização da Comissão, que é estabelecida nos termos da Decisão</w:t>
      </w:r>
      <w:r>
        <w:rPr>
          <w:spacing w:val="-5"/>
        </w:rPr>
        <w:t> </w:t>
      </w:r>
      <w:r>
        <w:rPr/>
        <w:t>2011/833/UE,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dezembro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relativa</w:t>
      </w:r>
      <w:r>
        <w:rPr>
          <w:spacing w:val="-5"/>
        </w:rPr>
        <w:t> </w:t>
      </w:r>
      <w:r>
        <w:rPr/>
        <w:t>à</w:t>
      </w:r>
      <w:r>
        <w:rPr>
          <w:spacing w:val="-5"/>
        </w:rPr>
        <w:t> </w:t>
      </w:r>
      <w:r>
        <w:rPr/>
        <w:t>reutilização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documentos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Comissão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 de 14.12.2011, p. 39, ELI: </w:t>
      </w:r>
      <w:hyperlink r:id="rId6">
        <w:r>
          <w:rPr>
            <w:color w:val="0000FF"/>
          </w:rPr>
          <w:t>http://data.europa.eu/eli/dec/2011/833/oj</w:t>
        </w:r>
      </w:hyperlink>
      <w:r>
        <w:rPr/>
        <w:t>).</w:t>
      </w:r>
    </w:p>
    <w:p>
      <w:pPr>
        <w:pStyle w:val="BodyText"/>
        <w:spacing w:before="98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  <w:ind w:right="27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4277804</wp:posOffset>
                </wp:positionH>
                <wp:positionV relativeFrom="paragraph">
                  <wp:posOffset>133461</wp:posOffset>
                </wp:positionV>
                <wp:extent cx="2504440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504440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04440" h="3810">
                              <a:moveTo>
                                <a:pt x="2504185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2504185" y="0"/>
                              </a:lnTo>
                              <a:lnTo>
                                <a:pt x="2504185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36.834991pt;margin-top:10.508773pt;width:197.179993pt;height:.263pt;mso-position-horizontal-relative:page;mso-position-vertical-relative:paragraph;z-index:15730176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/>
        <w:t>«Atribuição 4.0 Internacional (CC BY 4.0)» da Creative Commons (</w:t>
      </w:r>
      <w:hyperlink r:id="rId7">
        <w:r>
          <w:rPr>
            <w:color w:val="0000FF"/>
          </w:rPr>
          <w:t>https://creativecommons.org/licenses/by/4.0/</w:t>
        </w:r>
      </w:hyperlink>
      <w:r>
        <w:rPr/>
        <w:t>). Tal</w:t>
      </w:r>
      <w:r>
        <w:rPr>
          <w:spacing w:val="-4"/>
        </w:rPr>
        <w:t> </w:t>
      </w:r>
      <w:r>
        <w:rPr/>
        <w:t>significa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autorizada</w:t>
      </w:r>
      <w:r>
        <w:rPr>
          <w:spacing w:val="-4"/>
        </w:rPr>
        <w:t> </w:t>
      </w:r>
      <w:r>
        <w:rPr/>
        <w:t>desde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seja</w:t>
      </w:r>
      <w:r>
        <w:rPr>
          <w:spacing w:val="-4"/>
        </w:rPr>
        <w:t> </w:t>
      </w:r>
      <w:r>
        <w:rPr/>
        <w:t>feita</w:t>
      </w:r>
      <w:r>
        <w:rPr>
          <w:spacing w:val="-4"/>
        </w:rPr>
        <w:t> </w:t>
      </w:r>
      <w:r>
        <w:rPr/>
        <w:t>uma</w:t>
      </w:r>
      <w:r>
        <w:rPr>
          <w:spacing w:val="-4"/>
        </w:rPr>
        <w:t> </w:t>
      </w:r>
      <w:r>
        <w:rPr/>
        <w:t>menção</w:t>
      </w:r>
      <w:r>
        <w:rPr>
          <w:spacing w:val="-4"/>
        </w:rPr>
        <w:t> </w:t>
      </w:r>
      <w:r>
        <w:rPr/>
        <w:t>adequada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origem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documento e que sejam indicadas eventuais alterações.</w:t>
      </w:r>
    </w:p>
    <w:p>
      <w:pPr>
        <w:pStyle w:val="BodyText"/>
        <w:spacing w:before="74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91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</w:t>
      </w:r>
      <w:r>
        <w:rPr>
          <w:spacing w:val="-2"/>
        </w:rPr>
        <w:t> </w:t>
      </w:r>
      <w:r>
        <w:rPr/>
        <w:t>execução],</w:t>
      </w:r>
      <w:r>
        <w:rPr>
          <w:spacing w:val="-2"/>
        </w:rPr>
        <w:t> </w:t>
      </w:r>
      <w:r>
        <w:rPr/>
        <w:t>pode</w:t>
      </w:r>
      <w:r>
        <w:rPr>
          <w:spacing w:val="-2"/>
        </w:rPr>
        <w:t> </w:t>
      </w:r>
      <w:r>
        <w:rPr/>
        <w:t>ser</w:t>
      </w:r>
      <w:r>
        <w:rPr>
          <w:spacing w:val="-2"/>
        </w:rPr>
        <w:t> </w:t>
      </w:r>
      <w:r>
        <w:rPr/>
        <w:t>necessário</w:t>
      </w:r>
      <w:r>
        <w:rPr>
          <w:spacing w:val="-2"/>
        </w:rPr>
        <w:t> </w:t>
      </w:r>
      <w:r>
        <w:rPr/>
        <w:t>obter</w:t>
      </w:r>
      <w:r>
        <w:rPr>
          <w:spacing w:val="-2"/>
        </w:rPr>
        <w:t> </w:t>
      </w:r>
      <w:r>
        <w:rPr/>
        <w:t>autorização</w:t>
      </w:r>
      <w:r>
        <w:rPr>
          <w:spacing w:val="-2"/>
        </w:rPr>
        <w:t> </w:t>
      </w:r>
      <w:r>
        <w:rPr/>
        <w:t>diretamente</w:t>
      </w:r>
      <w:r>
        <w:rPr>
          <w:spacing w:val="-2"/>
        </w:rPr>
        <w:t> </w:t>
      </w:r>
      <w:r>
        <w:rPr/>
        <w:t>junto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respetivos</w:t>
      </w:r>
      <w:r>
        <w:rPr>
          <w:spacing w:val="-2"/>
        </w:rPr>
        <w:t> </w:t>
      </w:r>
      <w:r>
        <w:rPr/>
        <w:t>titulares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direitos.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União Europeia ou a [agência de execução] não detêm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both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85" w:hanging="380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both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  <w:spacing w:before="1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91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 execução], pode ser necessário obter autorização diretamente junto dos respetivos titulares dos direitos.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640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documento.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Europeia</w:t>
      </w:r>
      <w:r>
        <w:rPr>
          <w:spacing w:val="-4"/>
          <w:sz w:val="18"/>
        </w:rPr>
        <w:t> </w:t>
      </w:r>
      <w:r>
        <w:rPr>
          <w:sz w:val="18"/>
        </w:rPr>
        <w:t>não</w:t>
      </w:r>
      <w:r>
        <w:rPr>
          <w:spacing w:val="-4"/>
          <w:sz w:val="18"/>
        </w:rPr>
        <w:t> </w:t>
      </w:r>
      <w:r>
        <w:rPr>
          <w:sz w:val="18"/>
        </w:rPr>
        <w:t>é</w:t>
      </w:r>
      <w:r>
        <w:rPr>
          <w:spacing w:val="-4"/>
          <w:sz w:val="18"/>
        </w:rPr>
        <w:t> </w:t>
      </w:r>
      <w:r>
        <w:rPr>
          <w:sz w:val="18"/>
        </w:rPr>
        <w:t>responsável</w:t>
      </w:r>
      <w:r>
        <w:rPr>
          <w:spacing w:val="-4"/>
          <w:sz w:val="18"/>
        </w:rPr>
        <w:t> </w:t>
      </w:r>
      <w:r>
        <w:rPr>
          <w:sz w:val="18"/>
        </w:rPr>
        <w:t>por</w:t>
      </w:r>
      <w:r>
        <w:rPr>
          <w:spacing w:val="-4"/>
          <w:sz w:val="18"/>
        </w:rPr>
        <w:t> </w:t>
      </w:r>
      <w:r>
        <w:rPr>
          <w:sz w:val="18"/>
        </w:rPr>
        <w:t>quaisquer</w:t>
      </w:r>
      <w:r>
        <w:rPr>
          <w:spacing w:val="-4"/>
          <w:sz w:val="18"/>
        </w:rPr>
        <w:t> </w:t>
      </w:r>
      <w:r>
        <w:rPr>
          <w:sz w:val="18"/>
        </w:rPr>
        <w:t>consequências</w:t>
      </w:r>
      <w:r>
        <w:rPr>
          <w:spacing w:val="-4"/>
          <w:sz w:val="18"/>
        </w:rPr>
        <w:t> </w:t>
      </w:r>
      <w:r>
        <w:rPr>
          <w:sz w:val="18"/>
        </w:rPr>
        <w:t>decorrentes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reutilização.</w:t>
      </w:r>
    </w:p>
    <w:p>
      <w:pPr>
        <w:spacing w:line="271" w:lineRule="auto" w:before="1"/>
        <w:ind w:left="745" w:right="143" w:firstLine="0"/>
        <w:jc w:val="left"/>
        <w:rPr>
          <w:sz w:val="18"/>
        </w:rPr>
      </w:pPr>
      <w:r>
        <w:rPr>
          <w:sz w:val="18"/>
        </w:rPr>
        <w:t>A política de reutilização da Comissão Europeia é estabelecida nos termos da Decisão 2011/833/UE da Comissão, de</w:t>
      </w:r>
      <w:r>
        <w:rPr>
          <w:sz w:val="18"/>
        </w:rPr>
        <w:t> 12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dezembro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2011,</w:t>
      </w:r>
      <w:r>
        <w:rPr>
          <w:spacing w:val="-4"/>
          <w:sz w:val="18"/>
        </w:rPr>
        <w:t> </w:t>
      </w:r>
      <w:r>
        <w:rPr>
          <w:sz w:val="18"/>
        </w:rPr>
        <w:t>relativa</w:t>
      </w:r>
      <w:r>
        <w:rPr>
          <w:spacing w:val="-4"/>
          <w:sz w:val="18"/>
        </w:rPr>
        <w:t> </w:t>
      </w:r>
      <w:r>
        <w:rPr>
          <w:sz w:val="18"/>
        </w:rPr>
        <w:t>à</w:t>
      </w:r>
      <w:r>
        <w:rPr>
          <w:spacing w:val="-4"/>
          <w:sz w:val="18"/>
        </w:rPr>
        <w:t> </w:t>
      </w:r>
      <w:r>
        <w:rPr>
          <w:sz w:val="18"/>
        </w:rPr>
        <w:t>reutilização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documentos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369" w:right="464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369" w:right="196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2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369" w:right="464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369" w:right="464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10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369" w:right="640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369" w:right="464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PT</dc:title>
  <dcterms:created xsi:type="dcterms:W3CDTF">2025-07-15T13:19:55Z</dcterms:created>
  <dcterms:modified xsi:type="dcterms:W3CDTF">2025-07-15T13:19:55Z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