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20"/>
        <w:jc w:val="center"/>
      </w:pPr>
      <w:bookmarkStart w:name="European Commission – L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LT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40" w:lineRule="atLeast"/>
        <w:ind w:right="2831"/>
      </w:pPr>
      <w:r>
        <w:rPr/>
        <w:t>Pataisytasis</w:t>
      </w:r>
      <w:r>
        <w:rPr>
          <w:spacing w:val="-4"/>
        </w:rPr>
        <w:t> </w:t>
      </w:r>
      <w:r>
        <w:rPr/>
        <w:t>leidimas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Ištaisytasis</w:t>
      </w:r>
      <w:r>
        <w:rPr>
          <w:spacing w:val="-4"/>
        </w:rPr>
        <w:t> </w:t>
      </w:r>
      <w:r>
        <w:rPr/>
        <w:t>leidimas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Pirmasis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Antrasis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>
          <w:i/>
        </w:rPr>
        <w:t>n</w:t>
      </w:r>
      <w:r>
        <w:rPr/>
        <w:t>-asis</w:t>
      </w:r>
      <w:r>
        <w:rPr>
          <w:spacing w:val="-4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566"/>
      </w:pPr>
      <w:r>
        <w:rPr/>
        <w:t>Šiame</w:t>
      </w:r>
      <w:r>
        <w:rPr>
          <w:spacing w:val="-5"/>
        </w:rPr>
        <w:t> </w:t>
      </w:r>
      <w:r>
        <w:rPr/>
        <w:t>dokumente</w:t>
      </w:r>
      <w:r>
        <w:rPr>
          <w:spacing w:val="-5"/>
        </w:rPr>
        <w:t> </w:t>
      </w:r>
      <w:r>
        <w:rPr/>
        <w:t>pateikiama</w:t>
      </w:r>
      <w:r>
        <w:rPr>
          <w:spacing w:val="-5"/>
        </w:rPr>
        <w:t> </w:t>
      </w:r>
      <w:r>
        <w:rPr/>
        <w:t>nuomonė</w:t>
      </w:r>
      <w:r>
        <w:rPr>
          <w:spacing w:val="-5"/>
        </w:rPr>
        <w:t> </w:t>
      </w:r>
      <w:r>
        <w:rPr/>
        <w:t>negali</w:t>
      </w:r>
      <w:r>
        <w:rPr>
          <w:spacing w:val="-5"/>
        </w:rPr>
        <w:t> </w:t>
      </w:r>
      <w:r>
        <w:rPr/>
        <w:t>būti</w:t>
      </w:r>
      <w:r>
        <w:rPr>
          <w:spacing w:val="-5"/>
        </w:rPr>
        <w:t> </w:t>
      </w:r>
      <w:r>
        <w:rPr/>
        <w:t>laikoma</w:t>
      </w:r>
      <w:r>
        <w:rPr>
          <w:spacing w:val="-5"/>
        </w:rPr>
        <w:t> </w:t>
      </w:r>
      <w:r>
        <w:rPr/>
        <w:t>oficialia</w:t>
      </w:r>
      <w:r>
        <w:rPr>
          <w:spacing w:val="-5"/>
        </w:rPr>
        <w:t> </w:t>
      </w:r>
      <w:r>
        <w:rPr/>
        <w:t>Europos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348" w:lineRule="auto"/>
        <w:ind w:right="4174"/>
      </w:pPr>
      <w:r>
        <w:rPr/>
        <w:t>©</w:t>
      </w:r>
      <w:r>
        <w:rPr>
          <w:spacing w:val="-6"/>
        </w:rPr>
        <w:t> </w:t>
      </w:r>
      <w:r>
        <w:rPr/>
        <w:t>[Europos</w:t>
      </w:r>
      <w:r>
        <w:rPr>
          <w:spacing w:val="-6"/>
        </w:rPr>
        <w:t> </w:t>
      </w:r>
      <w:r>
        <w:rPr/>
        <w:t>Sąjunga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Europos</w:t>
      </w:r>
      <w:r>
        <w:rPr>
          <w:spacing w:val="-6"/>
        </w:rPr>
        <w:t> </w:t>
      </w:r>
      <w:r>
        <w:rPr/>
        <w:t>atominės</w:t>
      </w:r>
      <w:r>
        <w:rPr>
          <w:spacing w:val="-6"/>
        </w:rPr>
        <w:t> </w:t>
      </w:r>
      <w:r>
        <w:rPr/>
        <w:t>energijos</w:t>
      </w:r>
      <w:r>
        <w:rPr>
          <w:spacing w:val="-6"/>
        </w:rPr>
        <w:t> </w:t>
      </w:r>
      <w:r>
        <w:rPr/>
        <w:t>bendrija],</w:t>
      </w:r>
      <w:r>
        <w:rPr>
          <w:spacing w:val="-6"/>
        </w:rPr>
        <w:t> </w:t>
      </w:r>
      <w:r>
        <w:rPr/>
        <w:t>[metai]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[Europos</w:t>
      </w:r>
      <w:r>
        <w:rPr>
          <w:spacing w:val="-4"/>
        </w:rPr>
        <w:t> </w:t>
      </w:r>
      <w:r>
        <w:rPr/>
        <w:t>Sąjunga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atominės</w:t>
      </w:r>
      <w:r>
        <w:rPr>
          <w:spacing w:val="-4"/>
        </w:rPr>
        <w:t> </w:t>
      </w:r>
      <w:r>
        <w:rPr/>
        <w:t>energijos</w:t>
      </w:r>
      <w:r>
        <w:rPr>
          <w:spacing w:val="-4"/>
        </w:rPr>
        <w:t> </w:t>
      </w:r>
      <w:r>
        <w:rPr/>
        <w:t>bendrija],</w:t>
      </w:r>
      <w:r>
        <w:rPr>
          <w:spacing w:val="-4"/>
        </w:rPr>
        <w:t> </w:t>
      </w:r>
      <w:r>
        <w:rPr/>
        <w:t>[metai].</w:t>
      </w:r>
      <w:r>
        <w:rPr>
          <w:spacing w:val="-4"/>
        </w:rPr>
        <w:t> </w:t>
      </w:r>
      <w:r>
        <w:rPr/>
        <w:t>Dalis</w:t>
      </w:r>
      <w:r>
        <w:rPr>
          <w:spacing w:val="-4"/>
        </w:rPr>
        <w:t> </w:t>
      </w:r>
      <w:r>
        <w:rPr/>
        <w:t>turinio</w:t>
      </w:r>
      <w:r>
        <w:rPr>
          <w:spacing w:val="-4"/>
        </w:rPr>
        <w:t> </w:t>
      </w:r>
      <w:r>
        <w:rPr/>
        <w:t>sukurta</w:t>
      </w:r>
      <w:r>
        <w:rPr>
          <w:spacing w:val="-4"/>
        </w:rPr>
        <w:t> </w:t>
      </w:r>
      <w:r>
        <w:rPr/>
        <w:t>naudojant</w:t>
      </w:r>
      <w:r>
        <w:rPr>
          <w:spacing w:val="-4"/>
        </w:rPr>
        <w:t> </w:t>
      </w:r>
      <w:r>
        <w:rPr/>
        <w:t>[DI</w:t>
      </w:r>
      <w:r>
        <w:rPr>
          <w:spacing w:val="-4"/>
        </w:rPr>
        <w:t> </w:t>
      </w:r>
      <w:r>
        <w:rPr/>
        <w:t>priemonės </w:t>
      </w:r>
      <w:r>
        <w:rPr>
          <w:spacing w:val="-2"/>
        </w:rPr>
        <w:t>pavadinimas].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</w:pPr>
      <w:r>
        <w:rPr/>
        <w:t>Komisijos</w:t>
      </w:r>
      <w:r>
        <w:rPr>
          <w:spacing w:val="-5"/>
        </w:rPr>
        <w:t> </w:t>
      </w:r>
      <w:r>
        <w:rPr/>
        <w:t>dokumentų</w:t>
      </w:r>
      <w:r>
        <w:rPr>
          <w:spacing w:val="-5"/>
        </w:rPr>
        <w:t> </w:t>
      </w:r>
      <w:r>
        <w:rPr/>
        <w:t>pakartotinio</w:t>
      </w:r>
      <w:r>
        <w:rPr>
          <w:spacing w:val="-5"/>
        </w:rPr>
        <w:t> </w:t>
      </w:r>
      <w:r>
        <w:rPr/>
        <w:t>naudojimo</w:t>
      </w:r>
      <w:r>
        <w:rPr>
          <w:spacing w:val="-5"/>
        </w:rPr>
        <w:t> </w:t>
      </w:r>
      <w:r>
        <w:rPr/>
        <w:t>politika</w:t>
      </w:r>
      <w:r>
        <w:rPr>
          <w:spacing w:val="-5"/>
        </w:rPr>
        <w:t> </w:t>
      </w:r>
      <w:r>
        <w:rPr/>
        <w:t>įgyvendinama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m.</w:t>
      </w:r>
      <w:r>
        <w:rPr>
          <w:spacing w:val="-5"/>
        </w:rPr>
        <w:t> </w:t>
      </w:r>
      <w:r>
        <w:rPr/>
        <w:t>gruodžio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d.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sprendimu 2011/833/ES dėl pakartotinio Komisijos dokumentų naudojimo (OL L 330, 2011 12 14, p. 39, ELI: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before="98"/>
      </w:pPr>
      <w:r>
        <w:rPr/>
        <w:t>Jeigu</w:t>
      </w:r>
      <w:r>
        <w:rPr>
          <w:spacing w:val="-8"/>
        </w:rPr>
        <w:t> </w:t>
      </w:r>
      <w:r>
        <w:rPr/>
        <w:t>nenurodyta</w:t>
      </w:r>
      <w:r>
        <w:rPr>
          <w:spacing w:val="-8"/>
        </w:rPr>
        <w:t> </w:t>
      </w:r>
      <w:r>
        <w:rPr/>
        <w:t>kitaip,</w:t>
      </w:r>
      <w:r>
        <w:rPr>
          <w:spacing w:val="-7"/>
        </w:rPr>
        <w:t> </w:t>
      </w:r>
      <w:r>
        <w:rPr/>
        <w:t>šį</w:t>
      </w:r>
      <w:r>
        <w:rPr>
          <w:spacing w:val="-8"/>
        </w:rPr>
        <w:t> </w:t>
      </w:r>
      <w:r>
        <w:rPr/>
        <w:t>dokumentą</w:t>
      </w:r>
      <w:r>
        <w:rPr>
          <w:spacing w:val="-8"/>
        </w:rPr>
        <w:t> </w:t>
      </w:r>
      <w:r>
        <w:rPr/>
        <w:t>leidžiama</w:t>
      </w:r>
      <w:r>
        <w:rPr>
          <w:spacing w:val="-7"/>
        </w:rPr>
        <w:t> </w:t>
      </w:r>
      <w:r>
        <w:rPr/>
        <w:t>pakartotinai</w:t>
      </w:r>
      <w:r>
        <w:rPr>
          <w:spacing w:val="-8"/>
        </w:rPr>
        <w:t> </w:t>
      </w:r>
      <w:r>
        <w:rPr/>
        <w:t>naudoti</w:t>
      </w:r>
      <w:r>
        <w:rPr>
          <w:spacing w:val="-8"/>
        </w:rPr>
        <w:t> </w:t>
      </w:r>
      <w:r>
        <w:rPr/>
        <w:t>pagal</w:t>
      </w:r>
      <w:r>
        <w:rPr>
          <w:spacing w:val="-7"/>
        </w:rPr>
        <w:t> </w:t>
      </w:r>
      <w:r>
        <w:rPr/>
        <w:t>licenciją</w:t>
      </w:r>
      <w:r>
        <w:rPr>
          <w:spacing w:val="-8"/>
        </w:rPr>
        <w:t> </w:t>
      </w:r>
      <w:r>
        <w:rPr/>
        <w:t>„Creative</w:t>
      </w:r>
      <w:r>
        <w:rPr>
          <w:spacing w:val="-7"/>
        </w:rPr>
        <w:t> </w:t>
      </w:r>
      <w:r>
        <w:rPr>
          <w:spacing w:val="-2"/>
        </w:rPr>
        <w:t>Commons</w:t>
      </w:r>
    </w:p>
    <w:p>
      <w:pPr>
        <w:pStyle w:val="BodyText"/>
        <w:spacing w:line="244" w:lineRule="auto" w:before="4"/>
      </w:pPr>
      <w:r>
        <w:rPr/>
        <w:t>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International“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Tai</w:t>
      </w:r>
      <w:r>
        <w:rPr>
          <w:spacing w:val="-7"/>
          <w:u w:val="none"/>
        </w:rPr>
        <w:t> </w:t>
      </w:r>
      <w:r>
        <w:rPr>
          <w:u w:val="none"/>
        </w:rPr>
        <w:t>reiškia,</w:t>
      </w:r>
      <w:r>
        <w:rPr>
          <w:spacing w:val="-7"/>
          <w:u w:val="none"/>
        </w:rPr>
        <w:t> </w:t>
      </w:r>
      <w:r>
        <w:rPr>
          <w:u w:val="none"/>
        </w:rPr>
        <w:t>kad</w:t>
      </w:r>
      <w:r>
        <w:rPr>
          <w:spacing w:val="-7"/>
          <w:u w:val="none"/>
        </w:rPr>
        <w:t> </w:t>
      </w:r>
      <w:r>
        <w:rPr>
          <w:u w:val="none"/>
        </w:rPr>
        <w:t>pakartotinai naudoti leidžiama, jeigu tinkamai nurodoma autorystė ir visi pakeitimai.</w:t>
      </w:r>
    </w:p>
    <w:p>
      <w:pPr>
        <w:pStyle w:val="BodyText"/>
        <w:spacing w:before="75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 atitinkamų teisių turėtojų leidimą. Europos Sąjungai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68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[atitinkamas</w:t>
      </w:r>
      <w:r>
        <w:rPr>
          <w:spacing w:val="-4"/>
          <w:sz w:val="20"/>
        </w:rPr>
        <w:t> </w:t>
      </w:r>
      <w:r>
        <w:rPr>
          <w:sz w:val="20"/>
        </w:rPr>
        <w:t>elementas],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> </w:t>
      </w:r>
      <w:r>
        <w:rPr>
          <w:sz w:val="20"/>
        </w:rPr>
        <w:t>pvz.,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[autorius],</w:t>
      </w:r>
      <w:r>
        <w:rPr>
          <w:spacing w:val="-4"/>
          <w:sz w:val="20"/>
        </w:rPr>
        <w:t> </w:t>
      </w:r>
      <w:r>
        <w:rPr>
          <w:sz w:val="20"/>
        </w:rPr>
        <w:t>licencijuota</w:t>
      </w:r>
      <w:r>
        <w:rPr>
          <w:spacing w:val="-4"/>
          <w:sz w:val="20"/>
        </w:rPr>
        <w:t> </w:t>
      </w:r>
      <w:r>
        <w:rPr>
          <w:sz w:val="20"/>
        </w:rPr>
        <w:t>pagal</w:t>
      </w:r>
      <w:r>
        <w:rPr>
          <w:spacing w:val="-4"/>
          <w:sz w:val="20"/>
        </w:rPr>
        <w:t> </w:t>
      </w:r>
      <w:r>
        <w:rPr>
          <w:sz w:val="20"/>
        </w:rPr>
        <w:t>licenciją</w:t>
      </w:r>
      <w:r>
        <w:rPr>
          <w:spacing w:val="-4"/>
          <w:sz w:val="20"/>
        </w:rPr>
        <w:t> </w:t>
      </w:r>
      <w:r>
        <w:rPr>
          <w:sz w:val="20"/>
        </w:rPr>
        <w:t>CC BY 2.0 [+ nuoroda į licenciją],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 atitinkamų teisių turėtojų leidimą.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7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8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813" w:right="0" w:firstLine="0"/>
        <w:jc w:val="left"/>
        <w:rPr>
          <w:sz w:val="18"/>
        </w:rPr>
      </w:pPr>
      <w:r>
        <w:rPr>
          <w:sz w:val="18"/>
        </w:rPr>
        <w:t>Pakartotinai</w:t>
      </w:r>
      <w:r>
        <w:rPr>
          <w:spacing w:val="-6"/>
          <w:sz w:val="18"/>
        </w:rPr>
        <w:t> </w:t>
      </w:r>
      <w:r>
        <w:rPr>
          <w:sz w:val="18"/>
        </w:rPr>
        <w:t>naudoti</w:t>
      </w:r>
      <w:r>
        <w:rPr>
          <w:spacing w:val="-6"/>
          <w:sz w:val="18"/>
        </w:rPr>
        <w:t> </w:t>
      </w:r>
      <w:r>
        <w:rPr>
          <w:sz w:val="18"/>
        </w:rPr>
        <w:t>leidžiama,</w:t>
      </w:r>
      <w:r>
        <w:rPr>
          <w:spacing w:val="-6"/>
          <w:sz w:val="18"/>
        </w:rPr>
        <w:t> </w:t>
      </w:r>
      <w:r>
        <w:rPr>
          <w:sz w:val="18"/>
        </w:rPr>
        <w:t>jei</w:t>
      </w:r>
      <w:r>
        <w:rPr>
          <w:spacing w:val="-6"/>
          <w:sz w:val="18"/>
        </w:rPr>
        <w:t> </w:t>
      </w:r>
      <w:r>
        <w:rPr>
          <w:sz w:val="18"/>
        </w:rPr>
        <w:t>nurodomas</w:t>
      </w:r>
      <w:r>
        <w:rPr>
          <w:spacing w:val="-6"/>
          <w:sz w:val="18"/>
        </w:rPr>
        <w:t> </w:t>
      </w:r>
      <w:r>
        <w:rPr>
          <w:sz w:val="18"/>
        </w:rPr>
        <w:t>šaltinis</w:t>
      </w:r>
      <w:r>
        <w:rPr>
          <w:spacing w:val="-6"/>
          <w:sz w:val="18"/>
        </w:rPr>
        <w:t> </w:t>
      </w:r>
      <w:r>
        <w:rPr>
          <w:sz w:val="18"/>
        </w:rPr>
        <w:t>ir</w:t>
      </w:r>
      <w:r>
        <w:rPr>
          <w:spacing w:val="-6"/>
          <w:sz w:val="18"/>
        </w:rPr>
        <w:t> </w:t>
      </w:r>
      <w:r>
        <w:rPr>
          <w:sz w:val="18"/>
        </w:rPr>
        <w:t>neiškreipiama</w:t>
      </w:r>
      <w:r>
        <w:rPr>
          <w:spacing w:val="-6"/>
          <w:sz w:val="18"/>
        </w:rPr>
        <w:t> </w:t>
      </w:r>
      <w:r>
        <w:rPr>
          <w:sz w:val="18"/>
        </w:rPr>
        <w:t>pirminė</w:t>
      </w:r>
      <w:r>
        <w:rPr>
          <w:spacing w:val="-6"/>
          <w:sz w:val="18"/>
        </w:rPr>
        <w:t> </w:t>
      </w:r>
      <w:r>
        <w:rPr>
          <w:sz w:val="18"/>
        </w:rPr>
        <w:t>dokumento</w:t>
      </w:r>
      <w:r>
        <w:rPr>
          <w:spacing w:val="-6"/>
          <w:sz w:val="18"/>
        </w:rPr>
        <w:t> </w:t>
      </w:r>
      <w:r>
        <w:rPr>
          <w:sz w:val="18"/>
        </w:rPr>
        <w:t>prasmė</w:t>
      </w:r>
      <w:r>
        <w:rPr>
          <w:spacing w:val="-6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mintis.</w:t>
      </w:r>
    </w:p>
    <w:p>
      <w:pPr>
        <w:spacing w:line="271" w:lineRule="auto" w:before="27"/>
        <w:ind w:left="813" w:right="0" w:firstLine="0"/>
        <w:jc w:val="left"/>
        <w:rPr>
          <w:sz w:val="18"/>
        </w:rPr>
      </w:pPr>
      <w:r>
        <w:rPr>
          <w:sz w:val="18"/>
        </w:rPr>
        <w:t>Už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</w:t>
      </w:r>
      <w:r>
        <w:rPr>
          <w:spacing w:val="-4"/>
          <w:sz w:val="18"/>
        </w:rPr>
        <w:t> </w:t>
      </w:r>
      <w:r>
        <w:rPr>
          <w:sz w:val="18"/>
        </w:rPr>
        <w:t>padarinius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neatsako.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Komisijos</w:t>
      </w:r>
      <w:r>
        <w:rPr>
          <w:spacing w:val="-4"/>
          <w:sz w:val="18"/>
        </w:rPr>
        <w:t> </w:t>
      </w:r>
      <w:r>
        <w:rPr>
          <w:sz w:val="18"/>
        </w:rPr>
        <w:t>dokumentų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 politika įgyvendinama 2011 m. gruodžio 12 d. Komisijos sprendimu 2011/833/ES dėl pakartotinio Komisijos dokumentų naudojimo (OL L 330, 2011 12 14,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6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Kaina</w:t>
      </w:r>
      <w:r>
        <w:rPr>
          <w:spacing w:val="-6"/>
        </w:rPr>
        <w:t> </w:t>
      </w:r>
      <w:r>
        <w:rPr/>
        <w:t>Liuksemburge</w:t>
      </w:r>
      <w:r>
        <w:rPr>
          <w:spacing w:val="-5"/>
        </w:rPr>
        <w:t> </w:t>
      </w:r>
      <w:r>
        <w:rPr/>
        <w:t>(be</w:t>
      </w:r>
      <w:r>
        <w:rPr>
          <w:spacing w:val="-5"/>
        </w:rPr>
        <w:t> </w:t>
      </w:r>
      <w:r>
        <w:rPr/>
        <w:t>PVM):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60"/>
        </w:sectPr>
      </w:pPr>
    </w:p>
    <w:p>
      <w:pPr>
        <w:pStyle w:val="Heading1"/>
        <w:spacing w:before="73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6"/>
        <w:ind w:left="437" w:right="566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5"/>
          <w:sz w:val="22"/>
        </w:rPr>
        <w:t> </w:t>
      </w:r>
      <w:r>
        <w:rPr>
          <w:sz w:val="22"/>
        </w:rPr>
        <w:t>Europos</w:t>
      </w:r>
      <w:r>
        <w:rPr>
          <w:spacing w:val="-5"/>
          <w:sz w:val="22"/>
        </w:rPr>
        <w:t> </w:t>
      </w:r>
      <w:r>
        <w:rPr>
          <w:sz w:val="22"/>
        </w:rPr>
        <w:t>Sąjungoje</w:t>
      </w:r>
      <w:r>
        <w:rPr>
          <w:spacing w:val="-5"/>
          <w:sz w:val="22"/>
        </w:rPr>
        <w:t> </w:t>
      </w:r>
      <w:r>
        <w:rPr>
          <w:sz w:val="22"/>
        </w:rPr>
        <w:t>yra</w:t>
      </w:r>
      <w:r>
        <w:rPr>
          <w:spacing w:val="-5"/>
          <w:sz w:val="22"/>
        </w:rPr>
        <w:t> </w:t>
      </w:r>
      <w:r>
        <w:rPr>
          <w:sz w:val="22"/>
        </w:rPr>
        <w:t>šimtai</w:t>
      </w:r>
      <w:r>
        <w:rPr>
          <w:spacing w:val="-5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centrų.</w:t>
      </w:r>
      <w:r>
        <w:rPr>
          <w:spacing w:val="-5"/>
          <w:sz w:val="22"/>
        </w:rPr>
        <w:t> </w:t>
      </w:r>
      <w:r>
        <w:rPr>
          <w:sz w:val="22"/>
        </w:rPr>
        <w:t>Artimiausio</w:t>
      </w:r>
      <w:r>
        <w:rPr>
          <w:spacing w:val="-5"/>
          <w:sz w:val="22"/>
        </w:rPr>
        <w:t> </w:t>
      </w:r>
      <w:r>
        <w:rPr>
          <w:sz w:val="22"/>
        </w:rPr>
        <w:t>centro</w:t>
      </w:r>
      <w:r>
        <w:rPr>
          <w:spacing w:val="-5"/>
          <w:sz w:val="22"/>
        </w:rPr>
        <w:t> </w:t>
      </w:r>
      <w:r>
        <w:rPr>
          <w:sz w:val="22"/>
        </w:rPr>
        <w:t>adresą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rasti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7"/>
        <w:ind w:left="437" w:right="566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664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</w:t>
      </w:r>
      <w:r>
        <w:rPr>
          <w:spacing w:val="-4"/>
          <w:sz w:val="22"/>
        </w:rPr>
        <w:t> </w:t>
      </w:r>
      <w:r>
        <w:rPr>
          <w:sz w:val="22"/>
        </w:rPr>
        <w:t>gali</w:t>
      </w:r>
      <w:r>
        <w:rPr>
          <w:spacing w:val="-4"/>
          <w:sz w:val="22"/>
        </w:rPr>
        <w:t> </w:t>
      </w:r>
      <w:r>
        <w:rPr>
          <w:sz w:val="22"/>
        </w:rPr>
        <w:t>imti </w:t>
      </w:r>
      <w:r>
        <w:rPr>
          <w:spacing w:val="-2"/>
          <w:sz w:val="22"/>
        </w:rPr>
        <w:t>mokestį),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Internetas</w:t>
      </w:r>
    </w:p>
    <w:p>
      <w:pPr>
        <w:spacing w:before="166"/>
        <w:ind w:left="437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6"/>
        <w:ind w:left="437" w:right="450" w:firstLine="0"/>
        <w:jc w:val="left"/>
        <w:rPr>
          <w:sz w:val="22"/>
        </w:rPr>
      </w:pPr>
      <w:r>
        <w:rPr>
          <w:sz w:val="22"/>
        </w:rPr>
        <w:t>ES leidinius galite peržiūrėti arba užsisakyti adresu </w:t>
      </w:r>
      <w:hyperlink r:id="rId13">
        <w:r>
          <w:rPr>
            <w:color w:val="0000FF"/>
            <w:sz w:val="22"/>
            <w:u w:val="single" w:color="0000FF"/>
          </w:rPr>
          <w:t>op.europa.eu/lt/publications</w:t>
        </w:r>
      </w:hyperlink>
      <w:r>
        <w:rPr>
          <w:sz w:val="22"/>
          <w:u w:val="none"/>
        </w:rPr>
        <w:t>. Jeigu jums reikia daugiau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leidinių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egzempliorių,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kreipkitės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2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arba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vietos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centrą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</w:t>
      </w:r>
      <w:r>
        <w:rPr>
          <w:spacing w:val="-4"/>
          <w:sz w:val="22"/>
        </w:rPr>
        <w:t> </w:t>
      </w:r>
      <w:r>
        <w:rPr>
          <w:sz w:val="22"/>
        </w:rPr>
        <w:t>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6"/>
        <w:ind w:left="437" w:right="83" w:firstLine="0"/>
        <w:jc w:val="left"/>
        <w:rPr>
          <w:sz w:val="22"/>
        </w:rPr>
      </w:pPr>
      <w:r>
        <w:rPr>
          <w:sz w:val="22"/>
        </w:rPr>
        <w:t>Portale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 rinkinių.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komerciniais,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 nekomerciniais tikslais. Be to, portale suteikiama prieiga prie daugybės Europos šalių duomenų </w:t>
      </w:r>
      <w:r>
        <w:rPr>
          <w:spacing w:val="-2"/>
          <w:sz w:val="22"/>
          <w:u w:val="none"/>
        </w:rPr>
        <w:t>rinkinių.</w:t>
      </w:r>
    </w:p>
    <w:sectPr>
      <w:pgSz w:w="11910" w:h="16840"/>
      <w:pgMar w:top="600" w:bottom="280" w:left="64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88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57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726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695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6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633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602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71" w:hanging="40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64" w:hanging="3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469" w:hanging="3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474" w:hanging="3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479" w:hanging="3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84" w:hanging="3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489" w:hanging="3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494" w:hanging="3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99" w:hanging="3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536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533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530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27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2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21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18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15" w:hanging="380"/>
      </w:pPr>
      <w:rPr>
        <w:rFonts w:hint="default"/>
        <w:lang w:val="lt-L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t" TargetMode="External"/><Relationship Id="rId11" Type="http://schemas.openxmlformats.org/officeDocument/2006/relationships/hyperlink" Target="https://european-union.europa.eu/contact-eu/write-us_lt" TargetMode="External"/><Relationship Id="rId12" Type="http://schemas.openxmlformats.org/officeDocument/2006/relationships/hyperlink" Target="https://european-union.europa.eu/index_lt" TargetMode="External"/><Relationship Id="rId13" Type="http://schemas.openxmlformats.org/officeDocument/2006/relationships/hyperlink" Target="https://op.europa.eu/l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LT</dc:title>
  <dcterms:created xsi:type="dcterms:W3CDTF">2025-04-28T11:42:33Z</dcterms:created>
  <dcterms:modified xsi:type="dcterms:W3CDTF">2025-04-28T11:42:33Z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