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ean Commission – RO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RO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[tipografie]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[țara]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40" w:lineRule="atLeast"/>
        <w:ind w:right="2941"/>
      </w:pPr>
      <w:r>
        <w:rPr/>
        <w:t>Ediție</w:t>
      </w:r>
      <w:r>
        <w:rPr>
          <w:spacing w:val="-6"/>
        </w:rPr>
        <w:t> </w:t>
      </w:r>
      <w:r>
        <w:rPr/>
        <w:t>revizuită/Ediție</w:t>
      </w:r>
      <w:r>
        <w:rPr>
          <w:spacing w:val="-6"/>
        </w:rPr>
        <w:t> </w:t>
      </w:r>
      <w:r>
        <w:rPr/>
        <w:t>corectată/Ediția</w:t>
      </w:r>
      <w:r>
        <w:rPr>
          <w:spacing w:val="-6"/>
        </w:rPr>
        <w:t> </w:t>
      </w:r>
      <w:r>
        <w:rPr/>
        <w:t>întâi/Ediția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doua/Ediția</w:t>
      </w:r>
      <w:r>
        <w:rPr>
          <w:spacing w:val="-6"/>
        </w:rPr>
        <w:t> </w:t>
      </w:r>
      <w:r>
        <w:rPr/>
        <w:t>[</w:t>
      </w:r>
      <w:r>
        <w:rPr>
          <w:i/>
        </w:rPr>
        <w:t>numeral</w:t>
      </w:r>
      <w:r>
        <w:rPr>
          <w:i/>
          <w:spacing w:val="-6"/>
        </w:rPr>
        <w:t> </w:t>
      </w:r>
      <w:r>
        <w:rPr>
          <w:i/>
        </w:rPr>
        <w:t>ordinal</w:t>
      </w:r>
      <w:r>
        <w:rPr/>
        <w:t>]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298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Europene. Luxemburg: Oficiul pentru Publicații al Uniunii Europene, [anul]</w:t>
      </w:r>
    </w:p>
    <w:p>
      <w:pPr>
        <w:pStyle w:val="BodyText"/>
        <w:spacing w:line="348" w:lineRule="auto"/>
        <w:ind w:right="3549"/>
      </w:pPr>
      <w:r>
        <w:rPr/>
        <w:t>©</w:t>
      </w:r>
      <w:r>
        <w:rPr>
          <w:spacing w:val="-6"/>
        </w:rPr>
        <w:t> </w:t>
      </w:r>
      <w:r>
        <w:rPr/>
        <w:t>[Uniunea</w:t>
      </w:r>
      <w:r>
        <w:rPr>
          <w:spacing w:val="-6"/>
        </w:rPr>
        <w:t> </w:t>
      </w:r>
      <w:r>
        <w:rPr/>
        <w:t>Europeană/Comunitatea</w:t>
      </w:r>
      <w:r>
        <w:rPr>
          <w:spacing w:val="-6"/>
        </w:rPr>
        <w:t> </w:t>
      </w:r>
      <w:r>
        <w:rPr/>
        <w:t>Europeană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Energiei</w:t>
      </w:r>
      <w:r>
        <w:rPr>
          <w:spacing w:val="-6"/>
        </w:rPr>
        <w:t> </w:t>
      </w:r>
      <w:r>
        <w:rPr/>
        <w:t>Atomice],</w:t>
      </w:r>
      <w:r>
        <w:rPr>
          <w:spacing w:val="-6"/>
        </w:rPr>
        <w:t> </w:t>
      </w:r>
      <w:r>
        <w:rPr/>
        <w:t>[anul]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[Uniunea</w:t>
      </w:r>
      <w:r>
        <w:rPr>
          <w:spacing w:val="-4"/>
        </w:rPr>
        <w:t> </w:t>
      </w:r>
      <w:r>
        <w:rPr/>
        <w:t>Europeană/Comunitatea</w:t>
      </w:r>
      <w:r>
        <w:rPr>
          <w:spacing w:val="-4"/>
        </w:rPr>
        <w:t> </w:t>
      </w:r>
      <w:r>
        <w:rPr/>
        <w:t>Europeană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Energiei</w:t>
      </w:r>
      <w:r>
        <w:rPr>
          <w:spacing w:val="-4"/>
        </w:rPr>
        <w:t> </w:t>
      </w:r>
      <w:r>
        <w:rPr/>
        <w:t>Atomice],</w:t>
      </w:r>
      <w:r>
        <w:rPr>
          <w:spacing w:val="-4"/>
        </w:rPr>
        <w:t> </w:t>
      </w:r>
      <w:r>
        <w:rPr/>
        <w:t>[anul].</w:t>
      </w:r>
      <w:r>
        <w:rPr>
          <w:spacing w:val="-4"/>
        </w:rPr>
        <w:t> </w:t>
      </w:r>
      <w:r>
        <w:rPr/>
        <w:t>Unele</w:t>
      </w:r>
      <w:r>
        <w:rPr>
          <w:spacing w:val="-4"/>
        </w:rPr>
        <w:t> </w:t>
      </w:r>
      <w:r>
        <w:rPr/>
        <w:t>conținuturi</w:t>
      </w:r>
      <w:r>
        <w:rPr>
          <w:spacing w:val="-4"/>
        </w:rPr>
        <w:t> </w:t>
      </w:r>
      <w:r>
        <w:rPr/>
        <w:t>au</w:t>
      </w:r>
      <w:r>
        <w:rPr>
          <w:spacing w:val="-4"/>
        </w:rPr>
        <w:t> </w:t>
      </w:r>
      <w:r>
        <w:rPr/>
        <w:t>fost</w:t>
      </w:r>
      <w:r>
        <w:rPr>
          <w:spacing w:val="-4"/>
        </w:rPr>
        <w:t> </w:t>
      </w:r>
      <w:r>
        <w:rPr/>
        <w:t>create</w:t>
      </w:r>
      <w:r>
        <w:rPr>
          <w:spacing w:val="-4"/>
        </w:rPr>
        <w:t> </w:t>
      </w:r>
      <w:r>
        <w:rPr/>
        <w:t>utilizând [numele instrumentului de IA].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  <w:ind w:right="598"/>
      </w:pPr>
      <w:r>
        <w:rPr/>
        <w:t>Agențiile executive aplică politica de reutilizare a Comisiei, care este pusă în aplicare prin Decizia 2011/833/ UE</w:t>
      </w:r>
      <w:r>
        <w:rPr>
          <w:spacing w:val="-5"/>
        </w:rPr>
        <w:t> </w:t>
      </w:r>
      <w:r>
        <w:rPr/>
        <w:t>din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decembrie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privind</w:t>
      </w:r>
      <w:r>
        <w:rPr>
          <w:spacing w:val="-5"/>
        </w:rPr>
        <w:t> </w:t>
      </w:r>
      <w:r>
        <w:rPr/>
        <w:t>reutilizarea</w:t>
      </w:r>
      <w:r>
        <w:rPr>
          <w:spacing w:val="-5"/>
        </w:rPr>
        <w:t> </w:t>
      </w:r>
      <w:r>
        <w:rPr/>
        <w:t>documentelor</w:t>
      </w:r>
      <w:r>
        <w:rPr>
          <w:spacing w:val="-5"/>
        </w:rPr>
        <w:t> </w:t>
      </w:r>
      <w:r>
        <w:rPr/>
        <w:t>Comisiei</w:t>
      </w:r>
      <w:r>
        <w:rPr>
          <w:spacing w:val="-5"/>
        </w:rPr>
        <w:t> </w:t>
      </w:r>
      <w:r>
        <w:rPr/>
        <w:t>(JO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p.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</w:t>
      </w:r>
      <w:r>
        <w:rPr>
          <w:spacing w:val="-5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Cu excepția cazului în care se prevede altfel, reutilizarea prezentului document este autorizată în temeiul licenței Creative Commons Attribution 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</w:t>
        </w:r>
      </w:hyperlink>
      <w:r>
        <w:rPr>
          <w:u w:val="none"/>
        </w:rPr>
        <w:t>). Aceasta înseamnă</w:t>
      </w:r>
      <w:r>
        <w:rPr>
          <w:spacing w:val="-3"/>
          <w:u w:val="none"/>
        </w:rPr>
        <w:t> </w:t>
      </w:r>
      <w:r>
        <w:rPr>
          <w:u w:val="none"/>
        </w:rPr>
        <w:t>că</w:t>
      </w:r>
      <w:r>
        <w:rPr>
          <w:spacing w:val="-3"/>
          <w:u w:val="none"/>
        </w:rPr>
        <w:t> </w:t>
      </w:r>
      <w:r>
        <w:rPr>
          <w:u w:val="none"/>
        </w:rPr>
        <w:t>reutilizarea</w:t>
      </w:r>
      <w:r>
        <w:rPr>
          <w:spacing w:val="-3"/>
          <w:u w:val="none"/>
        </w:rPr>
        <w:t> </w:t>
      </w:r>
      <w:r>
        <w:rPr>
          <w:u w:val="none"/>
        </w:rPr>
        <w:t>este</w:t>
      </w:r>
      <w:r>
        <w:rPr>
          <w:spacing w:val="-3"/>
          <w:u w:val="none"/>
        </w:rPr>
        <w:t> </w:t>
      </w:r>
      <w:r>
        <w:rPr>
          <w:u w:val="none"/>
        </w:rPr>
        <w:t>autorizată,</w:t>
      </w:r>
      <w:r>
        <w:rPr>
          <w:spacing w:val="-3"/>
          <w:u w:val="none"/>
        </w:rPr>
        <w:t> </w:t>
      </w:r>
      <w:r>
        <w:rPr>
          <w:u w:val="none"/>
        </w:rPr>
        <w:t>cu</w:t>
      </w:r>
      <w:r>
        <w:rPr>
          <w:spacing w:val="-3"/>
          <w:u w:val="none"/>
        </w:rPr>
        <w:t> </w:t>
      </w:r>
      <w:r>
        <w:rPr>
          <w:u w:val="none"/>
        </w:rPr>
        <w:t>condiția</w:t>
      </w:r>
      <w:r>
        <w:rPr>
          <w:spacing w:val="-3"/>
          <w:u w:val="none"/>
        </w:rPr>
        <w:t> </w:t>
      </w:r>
      <w:r>
        <w:rPr>
          <w:u w:val="none"/>
        </w:rPr>
        <w:t>ca</w:t>
      </w:r>
      <w:r>
        <w:rPr>
          <w:spacing w:val="-3"/>
          <w:u w:val="none"/>
        </w:rPr>
        <w:t> </w:t>
      </w:r>
      <w:r>
        <w:rPr>
          <w:u w:val="none"/>
        </w:rPr>
        <w:t>sursa</w:t>
      </w:r>
      <w:r>
        <w:rPr>
          <w:spacing w:val="-3"/>
          <w:u w:val="none"/>
        </w:rPr>
        <w:t> </w:t>
      </w:r>
      <w:r>
        <w:rPr>
          <w:u w:val="none"/>
        </w:rPr>
        <w:t>documentului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recunoscută</w:t>
      </w:r>
      <w:r>
        <w:rPr>
          <w:spacing w:val="-3"/>
          <w:u w:val="none"/>
        </w:rPr>
        <w:t> </w:t>
      </w:r>
      <w:r>
        <w:rPr>
          <w:u w:val="none"/>
        </w:rPr>
        <w:t>și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indicate</w:t>
      </w:r>
      <w:r>
        <w:rPr>
          <w:spacing w:val="-3"/>
          <w:u w:val="none"/>
        </w:rPr>
        <w:t> </w:t>
      </w:r>
      <w:r>
        <w:rPr>
          <w:u w:val="none"/>
        </w:rPr>
        <w:t>orice </w:t>
      </w:r>
      <w:r>
        <w:rPr>
          <w:spacing w:val="-2"/>
          <w:u w:val="none"/>
        </w:rPr>
        <w:t>modificări.</w:t>
      </w:r>
    </w:p>
    <w:p>
      <w:pPr>
        <w:pStyle w:val="BodyText"/>
        <w:spacing w:before="74"/>
        <w:ind w:left="0"/>
      </w:pPr>
    </w:p>
    <w:p>
      <w:pPr>
        <w:pStyle w:val="BodyText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13"/>
        <w:jc w:val="both"/>
      </w:pPr>
      <w:r>
        <w:rPr/>
        <w:t>Pentru orice utilizare sau reproducere a unor elemente care nu sunt deținute de Uniunea Europeană, este posibil să fie</w:t>
      </w:r>
      <w:r>
        <w:rPr>
          <w:spacing w:val="-4"/>
        </w:rPr>
        <w:t> </w:t>
      </w:r>
      <w:r>
        <w:rPr/>
        <w:t>necesară</w:t>
      </w:r>
      <w:r>
        <w:rPr>
          <w:spacing w:val="-4"/>
        </w:rPr>
        <w:t> </w:t>
      </w:r>
      <w:r>
        <w:rPr/>
        <w:t>solicitarea</w:t>
      </w:r>
      <w:r>
        <w:rPr>
          <w:spacing w:val="-4"/>
        </w:rPr>
        <w:t> </w:t>
      </w:r>
      <w:r>
        <w:rPr/>
        <w:t>permisiunii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titularii</w:t>
      </w:r>
      <w:r>
        <w:rPr>
          <w:spacing w:val="-4"/>
        </w:rPr>
        <w:t> </w:t>
      </w:r>
      <w:r>
        <w:rPr/>
        <w:t>drepturilor</w:t>
      </w:r>
      <w:r>
        <w:rPr>
          <w:spacing w:val="-4"/>
        </w:rPr>
        <w:t> </w:t>
      </w:r>
      <w:r>
        <w:rPr/>
        <w:t>respective.</w:t>
      </w:r>
      <w:r>
        <w:rPr>
          <w:spacing w:val="-2"/>
        </w:rPr>
        <w:t> </w:t>
      </w:r>
      <w:r>
        <w:rPr/>
        <w:t>Uniunea</w:t>
      </w:r>
      <w:r>
        <w:rPr>
          <w:spacing w:val="-4"/>
        </w:rPr>
        <w:t> </w:t>
      </w:r>
      <w:r>
        <w:rPr/>
        <w:t>Europeană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deține</w:t>
      </w:r>
      <w:r>
        <w:rPr>
          <w:spacing w:val="-4"/>
        </w:rPr>
        <w:t> </w:t>
      </w:r>
      <w:r>
        <w:rPr/>
        <w:t>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both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67" w:hanging="380"/>
        <w:jc w:val="both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linkul către licență];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80"/>
        <w:ind w:left="0"/>
      </w:pPr>
    </w:p>
    <w:p>
      <w:pPr>
        <w:pStyle w:val="BodyText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69"/>
        <w:jc w:val="both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Europeană,</w:t>
      </w:r>
      <w:r>
        <w:rPr>
          <w:spacing w:val="-3"/>
        </w:rPr>
        <w:t> </w:t>
      </w:r>
      <w:r>
        <w:rPr/>
        <w:t>este</w:t>
      </w:r>
      <w:r>
        <w:rPr>
          <w:spacing w:val="-3"/>
        </w:rPr>
        <w:t> </w:t>
      </w:r>
      <w:r>
        <w:rPr/>
        <w:t>posibil</w:t>
      </w:r>
      <w:r>
        <w:rPr>
          <w:spacing w:val="-3"/>
        </w:rPr>
        <w:t> </w:t>
      </w:r>
      <w:r>
        <w:rPr/>
        <w:t>să fie necesară solicitarea permisiunii direct de la titularii drepturilor respective.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81" w:firstLine="0"/>
        <w:jc w:val="left"/>
        <w:rPr>
          <w:sz w:val="18"/>
        </w:rPr>
      </w:pPr>
      <w:r>
        <w:rPr>
          <w:sz w:val="18"/>
        </w:rPr>
        <w:t>Reutilizarea textului este autorizată cu condiția menționării sursei și a păstrării nealterate a sensului sau a mesajului original al acestui document. Comisia Europeană nu este responsabilă pentru modul în care ar putea fi reutilizată</w:t>
      </w:r>
      <w:r>
        <w:rPr>
          <w:sz w:val="18"/>
        </w:rPr>
        <w:t> prezenta publicație. Politica de reutilizare a documentelor Comisiei Europene este reglementată prin Decizia 2011/833/ UE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din</w:t>
      </w:r>
      <w:r>
        <w:rPr>
          <w:spacing w:val="-4"/>
          <w:sz w:val="18"/>
        </w:rPr>
        <w:t> </w:t>
      </w:r>
      <w:r>
        <w:rPr>
          <w:sz w:val="18"/>
        </w:rPr>
        <w:t>12</w:t>
      </w:r>
      <w:r>
        <w:rPr>
          <w:spacing w:val="-4"/>
          <w:sz w:val="18"/>
        </w:rPr>
        <w:t> </w:t>
      </w:r>
      <w:r>
        <w:rPr>
          <w:sz w:val="18"/>
        </w:rPr>
        <w:t>decembrie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privind</w:t>
      </w:r>
      <w:r>
        <w:rPr>
          <w:spacing w:val="-4"/>
          <w:sz w:val="18"/>
        </w:rPr>
        <w:t> </w:t>
      </w:r>
      <w:r>
        <w:rPr>
          <w:sz w:val="18"/>
        </w:rPr>
        <w:t>reutilizarea</w:t>
      </w:r>
      <w:r>
        <w:rPr>
          <w:spacing w:val="-4"/>
          <w:sz w:val="18"/>
        </w:rPr>
        <w:t> </w:t>
      </w:r>
      <w:r>
        <w:rPr>
          <w:sz w:val="18"/>
        </w:rPr>
        <w:t>documentelor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Prețul</w:t>
      </w:r>
      <w:r>
        <w:rPr>
          <w:spacing w:val="-6"/>
        </w:rPr>
        <w:t> </w:t>
      </w:r>
      <w:r>
        <w:rPr/>
        <w:t>în</w:t>
      </w:r>
      <w:r>
        <w:rPr>
          <w:spacing w:val="-6"/>
        </w:rPr>
        <w:t> </w:t>
      </w:r>
      <w:r>
        <w:rPr/>
        <w:t>Luxemburg</w:t>
      </w:r>
      <w:r>
        <w:rPr>
          <w:spacing w:val="-6"/>
        </w:rPr>
        <w:t> </w:t>
      </w:r>
      <w:r>
        <w:rPr/>
        <w:t>(fără</w:t>
      </w:r>
      <w:r>
        <w:rPr>
          <w:spacing w:val="-6"/>
        </w:rPr>
        <w:t> </w:t>
      </w:r>
      <w:r>
        <w:rPr/>
        <w:t>TVA):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6"/>
        <w:ind w:left="437" w:right="291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</w:t>
      </w:r>
      <w:r>
        <w:rPr>
          <w:spacing w:val="-4"/>
          <w:sz w:val="22"/>
        </w:rPr>
        <w:t> </w:t>
      </w:r>
      <w:r>
        <w:rPr>
          <w:sz w:val="22"/>
        </w:rPr>
        <w:t>cel mai apropiat de dumneavoastră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7"/>
        <w:ind w:left="437" w:right="598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</w:t>
      </w:r>
      <w:r>
        <w:rPr>
          <w:spacing w:val="-4"/>
          <w:sz w:val="22"/>
        </w:rPr>
        <w:t> </w:t>
      </w:r>
      <w:r>
        <w:rPr>
          <w:sz w:val="22"/>
        </w:rPr>
        <w:t>Puteți accesa acest serviciu: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598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37" w:right="414" w:firstLine="0"/>
        <w:jc w:val="both"/>
        <w:rPr>
          <w:sz w:val="22"/>
        </w:rPr>
      </w:pP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vizualiza</w:t>
      </w:r>
      <w:r>
        <w:rPr>
          <w:spacing w:val="-4"/>
          <w:sz w:val="22"/>
        </w:rPr>
        <w:t> </w:t>
      </w:r>
      <w:r>
        <w:rPr>
          <w:sz w:val="22"/>
        </w:rPr>
        <w:t>sau</w:t>
      </w:r>
      <w:r>
        <w:rPr>
          <w:spacing w:val="-4"/>
          <w:sz w:val="22"/>
        </w:rPr>
        <w:t> </w:t>
      </w:r>
      <w:r>
        <w:rPr>
          <w:sz w:val="22"/>
        </w:rPr>
        <w:t>comanda</w:t>
      </w:r>
      <w:r>
        <w:rPr>
          <w:spacing w:val="-4"/>
          <w:sz w:val="22"/>
        </w:rPr>
        <w:t> </w:t>
      </w:r>
      <w:r>
        <w:rPr>
          <w:sz w:val="22"/>
        </w:rPr>
        <w:t>publicații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op.europa.eu/ro/publications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 ale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publicațiilor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gratuite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obținute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contactând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sau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centrul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dumneavoastră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 documentare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437" w:right="426" w:firstLine="0"/>
        <w:jc w:val="both"/>
        <w:rPr>
          <w:sz w:val="22"/>
        </w:rPr>
      </w:pPr>
      <w:r>
        <w:rPr>
          <w:sz w:val="22"/>
        </w:rPr>
        <w:t>Pentru</w:t>
      </w:r>
      <w:r>
        <w:rPr>
          <w:spacing w:val="-3"/>
          <w:sz w:val="22"/>
        </w:rPr>
        <w:t> </w:t>
      </w:r>
      <w:r>
        <w:rPr>
          <w:sz w:val="22"/>
        </w:rPr>
        <w:t>accesul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informații</w:t>
      </w:r>
      <w:r>
        <w:rPr>
          <w:spacing w:val="-3"/>
          <w:sz w:val="22"/>
        </w:rPr>
        <w:t> </w:t>
      </w:r>
      <w:r>
        <w:rPr>
          <w:sz w:val="22"/>
        </w:rPr>
        <w:t>juridice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UE,</w:t>
      </w:r>
      <w:r>
        <w:rPr>
          <w:spacing w:val="-3"/>
          <w:sz w:val="22"/>
        </w:rPr>
        <w:t> </w:t>
      </w:r>
      <w:r>
        <w:rPr>
          <w:sz w:val="22"/>
        </w:rPr>
        <w:t>inclusiv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ansamblul</w:t>
      </w:r>
      <w:r>
        <w:rPr>
          <w:spacing w:val="-3"/>
          <w:sz w:val="22"/>
        </w:rPr>
        <w:t> </w:t>
      </w:r>
      <w:r>
        <w:rPr>
          <w:sz w:val="22"/>
        </w:rPr>
        <w:t>legislației</w:t>
      </w:r>
      <w:r>
        <w:rPr>
          <w:spacing w:val="-3"/>
          <w:sz w:val="22"/>
        </w:rPr>
        <w:t> </w:t>
      </w:r>
      <w:r>
        <w:rPr>
          <w:sz w:val="22"/>
        </w:rPr>
        <w:t>UE</w:t>
      </w:r>
      <w:r>
        <w:rPr>
          <w:spacing w:val="-3"/>
          <w:sz w:val="22"/>
        </w:rPr>
        <w:t> </w:t>
      </w:r>
      <w:r>
        <w:rPr>
          <w:sz w:val="22"/>
        </w:rPr>
        <w:t>începând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în toate versiunile lingvistice oficiale, accesați site-ul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437" w:right="894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ro" TargetMode="External"/><Relationship Id="rId11" Type="http://schemas.openxmlformats.org/officeDocument/2006/relationships/hyperlink" Target="https://european-union.europa.eu/contact-eu/write-us_ro" TargetMode="External"/><Relationship Id="rId12" Type="http://schemas.openxmlformats.org/officeDocument/2006/relationships/hyperlink" Target="https://european-union.europa.eu/index_ro" TargetMode="External"/><Relationship Id="rId13" Type="http://schemas.openxmlformats.org/officeDocument/2006/relationships/hyperlink" Target="https://op.europa.eu/ro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ro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RO</dc:title>
  <dcterms:created xsi:type="dcterms:W3CDTF">2025-04-28T11:42:47Z</dcterms:created>
  <dcterms:modified xsi:type="dcterms:W3CDTF">2025-04-28T11:42:47Z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