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Commission – EN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EN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Manuscript</w:t>
      </w:r>
      <w:r>
        <w:rPr>
          <w:spacing w:val="-6"/>
        </w:rPr>
        <w:t> </w:t>
      </w:r>
      <w:r>
        <w:rPr/>
        <w:t>completed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[Month]</w:t>
      </w:r>
      <w:r>
        <w:rPr>
          <w:spacing w:val="-5"/>
        </w:rPr>
        <w:t> </w:t>
      </w:r>
      <w:r>
        <w:rPr>
          <w:spacing w:val="-2"/>
        </w:rPr>
        <w:t>[Year]</w:t>
      </w:r>
    </w:p>
    <w:p>
      <w:pPr>
        <w:pStyle w:val="BodyText"/>
        <w:spacing w:line="560" w:lineRule="atLeast"/>
        <w:ind w:left="160" w:right="4106"/>
      </w:pPr>
      <w:r>
        <w:rPr/>
        <w:t>Revised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Corrected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6"/>
        </w:rPr>
        <w:t> </w:t>
      </w:r>
      <w:r>
        <w:rPr/>
        <w:t>edition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This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not</w:t>
      </w:r>
      <w:r>
        <w:rPr>
          <w:spacing w:val="-4"/>
        </w:rPr>
        <w:t> </w:t>
      </w:r>
      <w:r>
        <w:rPr/>
        <w:t>be</w:t>
      </w:r>
      <w:r>
        <w:rPr>
          <w:spacing w:val="-4"/>
        </w:rPr>
        <w:t> </w:t>
      </w:r>
      <w:r>
        <w:rPr/>
        <w:t>considered</w:t>
      </w:r>
      <w:r>
        <w:rPr>
          <w:spacing w:val="-4"/>
        </w:rPr>
        <w:t> </w:t>
      </w:r>
      <w:r>
        <w:rPr/>
        <w:t>as</w:t>
      </w:r>
      <w:r>
        <w:rPr>
          <w:spacing w:val="-4"/>
        </w:rPr>
        <w:t> </w:t>
      </w:r>
      <w:r>
        <w:rPr/>
        <w:t>representative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European</w:t>
      </w:r>
      <w:r>
        <w:rPr>
          <w:spacing w:val="-4"/>
        </w:rPr>
        <w:t> </w:t>
      </w:r>
      <w:r>
        <w:rPr/>
        <w:t>Commission’s</w:t>
      </w:r>
      <w:r>
        <w:rPr>
          <w:spacing w:val="-4"/>
        </w:rPr>
        <w:t> </w:t>
      </w:r>
      <w:r>
        <w:rPr/>
        <w:t>official</w:t>
      </w:r>
      <w:r>
        <w:rPr>
          <w:spacing w:val="-4"/>
        </w:rPr>
        <w:t> </w:t>
      </w:r>
      <w:r>
        <w:rPr/>
        <w:t>position. Luxembourg: Publications Office of the European Union, [year]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5"/>
        </w:rPr>
        <w:t> </w:t>
      </w:r>
      <w:r>
        <w:rPr/>
        <w:t>European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>
          <w:spacing w:val="-2"/>
        </w:rPr>
        <w:t>[year]</w:t>
      </w:r>
    </w:p>
    <w:p>
      <w:pPr>
        <w:pStyle w:val="BodyText"/>
        <w:spacing w:before="11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189"/>
      </w:pPr>
      <w:r>
        <w:rPr/>
        <w:t>The</w:t>
      </w:r>
      <w:r>
        <w:rPr>
          <w:spacing w:val="-5"/>
        </w:rPr>
        <w:t> </w:t>
      </w:r>
      <w:r>
        <w:rPr/>
        <w:t>Commission’s</w:t>
      </w:r>
      <w:r>
        <w:rPr>
          <w:spacing w:val="-5"/>
        </w:rPr>
        <w:t> </w:t>
      </w:r>
      <w:r>
        <w:rPr/>
        <w:t>reuse</w:t>
      </w:r>
      <w:r>
        <w:rPr>
          <w:spacing w:val="-5"/>
        </w:rPr>
        <w:t> </w:t>
      </w:r>
      <w:r>
        <w:rPr/>
        <w:t>policy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implemented</w:t>
      </w:r>
      <w:r>
        <w:rPr>
          <w:spacing w:val="-5"/>
        </w:rPr>
        <w:t> </w:t>
      </w:r>
      <w:r>
        <w:rPr/>
        <w:t>under</w:t>
      </w:r>
      <w:r>
        <w:rPr>
          <w:spacing w:val="-5"/>
        </w:rPr>
        <w:t> </w:t>
      </w:r>
      <w:r>
        <w:rPr/>
        <w:t>Commission</w:t>
      </w:r>
      <w:r>
        <w:rPr>
          <w:spacing w:val="-5"/>
        </w:rPr>
        <w:t> </w:t>
      </w:r>
      <w:r>
        <w:rPr/>
        <w:t>Decision</w:t>
      </w:r>
      <w:r>
        <w:rPr>
          <w:spacing w:val="-5"/>
        </w:rPr>
        <w:t> </w:t>
      </w:r>
      <w:r>
        <w:rPr/>
        <w:t>2011/833/EU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December 2011 on the reuse of Commission documents (OJ L 330, 14.12.2011, p. 39, ELI: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 w:right="189"/>
      </w:pPr>
      <w:r>
        <w:rPr/>
        <w:t>Unless</w:t>
      </w:r>
      <w:r>
        <w:rPr>
          <w:spacing w:val="-3"/>
        </w:rPr>
        <w:t> </w:t>
      </w:r>
      <w:r>
        <w:rPr/>
        <w:t>otherwise</w:t>
      </w:r>
      <w:r>
        <w:rPr>
          <w:spacing w:val="-3"/>
        </w:rPr>
        <w:t> </w:t>
      </w:r>
      <w:r>
        <w:rPr/>
        <w:t>noted,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reuse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3"/>
        </w:rPr>
        <w:t> </w:t>
      </w:r>
      <w:r>
        <w:rPr/>
        <w:t>document</w:t>
      </w:r>
      <w:r>
        <w:rPr>
          <w:spacing w:val="-3"/>
        </w:rPr>
        <w:t> </w:t>
      </w:r>
      <w:r>
        <w:rPr/>
        <w:t>is</w:t>
      </w:r>
      <w:r>
        <w:rPr>
          <w:spacing w:val="-3"/>
        </w:rPr>
        <w:t> </w:t>
      </w:r>
      <w:r>
        <w:rPr/>
        <w:t>authorised</w:t>
      </w:r>
      <w:r>
        <w:rPr>
          <w:spacing w:val="-3"/>
        </w:rPr>
        <w:t> </w:t>
      </w:r>
      <w:r>
        <w:rPr/>
        <w:t>under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Attribution</w:t>
      </w:r>
      <w:r>
        <w:rPr>
          <w:spacing w:val="-3"/>
        </w:rPr>
        <w:t> </w:t>
      </w:r>
      <w:r>
        <w:rPr/>
        <w:t>4.0 International (CC BY 4.0) licence 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 This means that reuse is allowed, provided appropriate credit is given and any changes are indicated.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7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Union,</w:t>
      </w:r>
      <w:r>
        <w:rPr>
          <w:spacing w:val="-3"/>
        </w:rPr>
        <w:t> </w:t>
      </w:r>
      <w:r>
        <w:rPr/>
        <w:t>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 sought directly from the respective rightholders. The European Union does not own the copyright in relation to the following elements: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1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 the licence],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Union,</w:t>
      </w:r>
      <w:r>
        <w:rPr>
          <w:spacing w:val="-3"/>
        </w:rPr>
        <w:t> </w:t>
      </w:r>
      <w:r>
        <w:rPr/>
        <w:t>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 sought directly from the respective rightholders.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282291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2766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European</w:t>
      </w:r>
      <w:r>
        <w:rPr>
          <w:rFonts w:ascii="Gill Sans MT" w:hAnsi="Gill Sans MT"/>
          <w:spacing w:val="-8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Union,</w:t>
      </w:r>
      <w:r>
        <w:rPr>
          <w:rFonts w:ascii="Gill Sans MT" w:hAnsi="Gill Sans MT"/>
          <w:spacing w:val="-8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[year]</w:t>
      </w:r>
    </w:p>
    <w:p>
      <w:pPr>
        <w:spacing w:line="268" w:lineRule="auto" w:before="26"/>
        <w:ind w:left="460" w:right="17" w:firstLine="0"/>
        <w:jc w:val="left"/>
        <w:rPr>
          <w:rFonts w:ascii="Gill Sans MT"/>
          <w:sz w:val="18"/>
        </w:rPr>
      </w:pPr>
      <w:r>
        <w:rPr>
          <w:rFonts w:ascii="Gill Sans MT"/>
          <w:w w:val="110"/>
          <w:sz w:val="18"/>
        </w:rPr>
        <w:t>Reuse is authorised provided the source is acknowledged and the original meaning or message of the document is not distorted.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European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shall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liable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for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any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consequence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stemming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reuse.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reuse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w w:val="110"/>
          <w:sz w:val="18"/>
        </w:rPr>
        <w:t>policy of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European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documents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is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implemented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Decision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2011/833/EU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of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12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December</w:t>
      </w:r>
      <w:r>
        <w:rPr>
          <w:rFonts w:ascii="Gill Sans MT"/>
          <w:spacing w:val="-1"/>
          <w:w w:val="110"/>
          <w:sz w:val="18"/>
        </w:rPr>
        <w:t> </w:t>
      </w:r>
      <w:r>
        <w:rPr>
          <w:rFonts w:ascii="Gill Sans MT"/>
          <w:w w:val="110"/>
          <w:sz w:val="18"/>
        </w:rPr>
        <w:t>2011 </w:t>
      </w:r>
      <w:r>
        <w:rPr>
          <w:rFonts w:ascii="Gill Sans MT"/>
          <w:spacing w:val="-2"/>
          <w:w w:val="115"/>
          <w:sz w:val="18"/>
        </w:rPr>
        <w:t>on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the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reuse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of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Commission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documents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(OJ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L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330,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14.12.2011,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p.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39,</w:t>
      </w:r>
      <w:r>
        <w:rPr>
          <w:rFonts w:ascii="Gill Sans MT"/>
          <w:spacing w:val="-9"/>
          <w:w w:val="115"/>
          <w:sz w:val="18"/>
        </w:rPr>
        <w:t> </w:t>
      </w:r>
      <w:r>
        <w:rPr>
          <w:rFonts w:ascii="Gill Sans MT"/>
          <w:spacing w:val="-2"/>
          <w:w w:val="115"/>
          <w:sz w:val="18"/>
        </w:rPr>
        <w:t>ELI:</w:t>
      </w:r>
      <w:r>
        <w:rPr>
          <w:rFonts w:ascii="Gill Sans MT"/>
          <w:spacing w:val="-9"/>
          <w:w w:val="115"/>
          <w:sz w:val="18"/>
        </w:rPr>
        <w:t> </w:t>
      </w:r>
      <w:hyperlink r:id="rId6">
        <w:r>
          <w:rPr>
            <w:rFonts w:ascii="Gill Sans MT"/>
            <w:color w:val="337AB7"/>
            <w:spacing w:val="-2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7"/>
        <w:ind w:left="443" w:right="189" w:firstLine="0"/>
        <w:jc w:val="left"/>
        <w:rPr>
          <w:sz w:val="22"/>
        </w:rPr>
      </w:pPr>
      <w:r>
        <w:rPr>
          <w:sz w:val="22"/>
        </w:rPr>
        <w:t>All over the European Union there are hundreds of Europe Direct centres. You can find the address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centre</w:t>
      </w:r>
      <w:r>
        <w:rPr>
          <w:spacing w:val="-6"/>
          <w:sz w:val="22"/>
        </w:rPr>
        <w:t> </w:t>
      </w:r>
      <w:r>
        <w:rPr>
          <w:sz w:val="22"/>
        </w:rPr>
        <w:t>nearest</w:t>
      </w:r>
      <w:r>
        <w:rPr>
          <w:spacing w:val="-6"/>
          <w:sz w:val="22"/>
        </w:rPr>
        <w:t> </w:t>
      </w: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online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6"/>
        <w:ind w:left="443" w:right="58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 contact this service: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4" w:after="0"/>
        <w:ind w:left="1163" w:right="0" w:hanging="400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443" w:right="586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443" w:right="586" w:firstLine="0"/>
        <w:jc w:val="left"/>
        <w:rPr>
          <w:sz w:val="22"/>
        </w:rPr>
      </w:pPr>
      <w:r>
        <w:rPr>
          <w:sz w:val="22"/>
        </w:rPr>
        <w:t>The portal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 These can be downloaded and reused for free, for both commercial and non- 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purposes.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provides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wealth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datasets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European </w:t>
      </w:r>
      <w:r>
        <w:rPr>
          <w:spacing w:val="-2"/>
          <w:sz w:val="22"/>
          <w:u w:val="none"/>
        </w:rPr>
        <w:t>countries.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n" TargetMode="External"/><Relationship Id="rId11" Type="http://schemas.openxmlformats.org/officeDocument/2006/relationships/hyperlink" Target="https://european-union.europa.eu/contact-eu/write-us_en" TargetMode="External"/><Relationship Id="rId12" Type="http://schemas.openxmlformats.org/officeDocument/2006/relationships/hyperlink" Target="https://european-union.europa.eu/index_en" TargetMode="External"/><Relationship Id="rId13" Type="http://schemas.openxmlformats.org/officeDocument/2006/relationships/hyperlink" Target="https://op.europa.eu/en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n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EN</dc:title>
  <dcterms:created xsi:type="dcterms:W3CDTF">2025-01-14T13:52:12Z</dcterms:created>
  <dcterms:modified xsi:type="dcterms:W3CDTF">2025-01-14T13:52:12Z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