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ean Commission – S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SL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right="4747"/>
      </w:pPr>
      <w:r>
        <w:rPr/>
        <w:t>Revidirana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Popravljena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Prva/Druga/n.</w:t>
      </w:r>
      <w:r>
        <w:rPr>
          <w:spacing w:val="-6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4747"/>
      </w:pPr>
      <w:r>
        <w:rPr/>
        <w:t>Ta dokument ni uradno stališče Evropske komisije.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348" w:lineRule="auto"/>
        <w:ind w:right="4056"/>
      </w:pPr>
      <w:r>
        <w:rPr/>
        <w:t>©</w:t>
      </w:r>
      <w:r>
        <w:rPr>
          <w:spacing w:val="-5"/>
        </w:rPr>
        <w:t> </w:t>
      </w:r>
      <w:r>
        <w:rPr/>
        <w:t>[Evropska</w:t>
      </w:r>
      <w:r>
        <w:rPr>
          <w:spacing w:val="-5"/>
        </w:rPr>
        <w:t> </w:t>
      </w:r>
      <w:r>
        <w:rPr/>
        <w:t>unija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Evropska</w:t>
      </w:r>
      <w:r>
        <w:rPr>
          <w:spacing w:val="-5"/>
        </w:rPr>
        <w:t> </w:t>
      </w:r>
      <w:r>
        <w:rPr/>
        <w:t>skupnost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atomsko</w:t>
      </w:r>
      <w:r>
        <w:rPr>
          <w:spacing w:val="-5"/>
        </w:rPr>
        <w:t> </w:t>
      </w:r>
      <w:r>
        <w:rPr/>
        <w:t>energijo],</w:t>
      </w:r>
      <w:r>
        <w:rPr>
          <w:spacing w:val="-5"/>
        </w:rPr>
        <w:t> </w:t>
      </w:r>
      <w:r>
        <w:rPr/>
        <w:t>[letnica]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951"/>
      </w:pPr>
      <w:r>
        <w:rPr/>
        <w:t>©</w:t>
      </w:r>
      <w:r>
        <w:rPr>
          <w:spacing w:val="-3"/>
        </w:rPr>
        <w:t> </w:t>
      </w:r>
      <w:r>
        <w:rPr/>
        <w:t>[Evropska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Evropska</w:t>
      </w:r>
      <w:r>
        <w:rPr>
          <w:spacing w:val="-3"/>
        </w:rPr>
        <w:t> </w:t>
      </w:r>
      <w:r>
        <w:rPr/>
        <w:t>skupnost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atomsko</w:t>
      </w:r>
      <w:r>
        <w:rPr>
          <w:spacing w:val="-3"/>
        </w:rPr>
        <w:t> </w:t>
      </w:r>
      <w:r>
        <w:rPr/>
        <w:t>energijo],</w:t>
      </w:r>
      <w:r>
        <w:rPr>
          <w:spacing w:val="-3"/>
        </w:rPr>
        <w:t> </w:t>
      </w:r>
      <w:r>
        <w:rPr/>
        <w:t>[letnica].</w:t>
      </w:r>
      <w:r>
        <w:rPr>
          <w:spacing w:val="-3"/>
        </w:rPr>
        <w:t> </w:t>
      </w:r>
      <w:r>
        <w:rPr/>
        <w:t>Nekatere</w:t>
      </w:r>
      <w:r>
        <w:rPr>
          <w:spacing w:val="-3"/>
        </w:rPr>
        <w:t> </w:t>
      </w:r>
      <w:r>
        <w:rPr/>
        <w:t>vsebine</w:t>
      </w:r>
      <w:r>
        <w:rPr>
          <w:spacing w:val="-3"/>
        </w:rPr>
        <w:t> </w:t>
      </w:r>
      <w:r>
        <w:rPr/>
        <w:t>so</w:t>
      </w:r>
      <w:r>
        <w:rPr>
          <w:spacing w:val="-3"/>
        </w:rPr>
        <w:t> </w:t>
      </w:r>
      <w:r>
        <w:rPr/>
        <w:t>bile</w:t>
      </w:r>
      <w:r>
        <w:rPr>
          <w:spacing w:val="-3"/>
        </w:rPr>
        <w:t> </w:t>
      </w:r>
      <w:r>
        <w:rPr/>
        <w:t>ustvarjene z uporabo [ime orodja UI].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122"/>
      </w:pPr>
      <w:r>
        <w:rPr/>
        <w:t>Politika Komisije glede ponovne uporabe se izvaja na podlagi Sklepa Komisije 2011/833/EU z dne 12. decembra 2011</w:t>
      </w:r>
      <w:r>
        <w:rPr>
          <w:spacing w:val="-9"/>
        </w:rPr>
        <w:t> </w:t>
      </w:r>
      <w:r>
        <w:rPr/>
        <w:t>o</w:t>
      </w:r>
      <w:r>
        <w:rPr>
          <w:spacing w:val="-9"/>
        </w:rPr>
        <w:t> </w:t>
      </w:r>
      <w:r>
        <w:rPr/>
        <w:t>ponovni</w:t>
      </w:r>
      <w:r>
        <w:rPr>
          <w:spacing w:val="-9"/>
        </w:rPr>
        <w:t> </w:t>
      </w:r>
      <w:r>
        <w:rPr/>
        <w:t>uporabi</w:t>
      </w:r>
      <w:r>
        <w:rPr>
          <w:spacing w:val="-9"/>
        </w:rPr>
        <w:t> </w:t>
      </w:r>
      <w:r>
        <w:rPr/>
        <w:t>dokumentov</w:t>
      </w:r>
      <w:r>
        <w:rPr>
          <w:spacing w:val="-9"/>
        </w:rPr>
        <w:t> </w:t>
      </w:r>
      <w:r>
        <w:rPr/>
        <w:t>(UL</w:t>
      </w:r>
      <w:r>
        <w:rPr>
          <w:spacing w:val="-9"/>
        </w:rPr>
        <w:t> </w:t>
      </w:r>
      <w:r>
        <w:rPr/>
        <w:t>L</w:t>
      </w:r>
      <w:r>
        <w:rPr>
          <w:spacing w:val="-9"/>
        </w:rPr>
        <w:t> </w:t>
      </w:r>
      <w:r>
        <w:rPr/>
        <w:t>330,</w:t>
      </w:r>
      <w:r>
        <w:rPr>
          <w:spacing w:val="-9"/>
        </w:rPr>
        <w:t> </w:t>
      </w:r>
      <w:r>
        <w:rPr/>
        <w:t>14.12.2011,</w:t>
      </w:r>
      <w:r>
        <w:rPr>
          <w:spacing w:val="-9"/>
        </w:rPr>
        <w:t> </w:t>
      </w:r>
      <w:r>
        <w:rPr/>
        <w:t>str.</w:t>
      </w:r>
      <w:r>
        <w:rPr>
          <w:spacing w:val="-9"/>
        </w:rPr>
        <w:t> </w:t>
      </w:r>
      <w:r>
        <w:rPr/>
        <w:t>39,</w:t>
      </w:r>
      <w:r>
        <w:rPr>
          <w:spacing w:val="-9"/>
        </w:rPr>
        <w:t> </w:t>
      </w:r>
      <w:r>
        <w:rPr/>
        <w:t>ELI:</w:t>
      </w:r>
      <w:r>
        <w:rPr>
          <w:spacing w:val="-9"/>
        </w:rPr>
        <w:t>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Če ni drugače navedeno, je ponovna uporaba tega dokumenta dovoljena na podlagi licence Creative Commons 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pomeni,</w:t>
      </w:r>
      <w:r>
        <w:rPr>
          <w:spacing w:val="-7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</w:t>
      </w:r>
      <w:r>
        <w:rPr>
          <w:spacing w:val="-6"/>
          <w:u w:val="none"/>
        </w:rPr>
        <w:t> </w:t>
      </w:r>
      <w:r>
        <w:rPr>
          <w:u w:val="none"/>
        </w:rPr>
        <w:t>ponovna uporaba dovoljena, če je ustrezno naveden vir in so označene morebitne spremembe.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22"/>
      </w:pPr>
      <w:r>
        <w:rPr/>
        <w:t>Za uporabo ali reprodukcijo elementov, ki niso last Evropske unije, je morda treba za dovoljenje zaprositi neposredno</w:t>
      </w:r>
      <w:r>
        <w:rPr>
          <w:spacing w:val="-4"/>
        </w:rPr>
        <w:t> </w:t>
      </w:r>
      <w:r>
        <w:rPr/>
        <w:t>imetnike</w:t>
      </w:r>
      <w:r>
        <w:rPr>
          <w:spacing w:val="-4"/>
        </w:rPr>
        <w:t> </w:t>
      </w:r>
      <w:r>
        <w:rPr/>
        <w:t>pravic.</w:t>
      </w:r>
      <w:r>
        <w:rPr>
          <w:spacing w:val="-3"/>
        </w:rPr>
        <w:t> </w:t>
      </w:r>
      <w:r>
        <w:rPr/>
        <w:t>Evropska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ni</w:t>
      </w:r>
      <w:r>
        <w:rPr>
          <w:spacing w:val="-4"/>
        </w:rPr>
        <w:t> </w:t>
      </w:r>
      <w:r>
        <w:rPr/>
        <w:t>[imetnica/imetnik]</w:t>
      </w:r>
      <w:r>
        <w:rPr>
          <w:spacing w:val="-4"/>
        </w:rPr>
        <w:t> </w:t>
      </w:r>
      <w:r>
        <w:rPr/>
        <w:t>avtorskih</w:t>
      </w:r>
      <w:r>
        <w:rPr>
          <w:spacing w:val="-4"/>
        </w:rPr>
        <w:t> </w:t>
      </w:r>
      <w:r>
        <w:rPr/>
        <w:t>pravic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zvezi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naslednjimi</w:t>
      </w:r>
      <w:r>
        <w:rPr>
          <w:spacing w:val="-4"/>
        </w:rPr>
        <w:t> </w:t>
      </w:r>
      <w:r>
        <w:rPr/>
        <w:t>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951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43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252076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848574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01" w:firstLine="0"/>
        <w:jc w:val="left"/>
        <w:rPr>
          <w:sz w:val="18"/>
        </w:rPr>
      </w:pPr>
      <w:r>
        <w:rPr>
          <w:sz w:val="18"/>
        </w:rPr>
        <w:t>Ponovna uporaba je dovoljena z navedbo vira in če prvotni pomen ali sporočilo tega dokumenta nista izkrivljena.</w:t>
      </w:r>
      <w:r>
        <w:rPr>
          <w:sz w:val="18"/>
        </w:rPr>
        <w:t> Evropska komisija ni odgovorna za posledice ponovne uporabe. Politiko ponovne uporabe dokumentov Evropske komisije</w:t>
      </w:r>
      <w:r>
        <w:rPr>
          <w:spacing w:val="-4"/>
          <w:sz w:val="18"/>
        </w:rPr>
        <w:t> </w:t>
      </w:r>
      <w:r>
        <w:rPr>
          <w:sz w:val="18"/>
        </w:rPr>
        <w:t>ureja</w:t>
      </w:r>
      <w:r>
        <w:rPr>
          <w:spacing w:val="-4"/>
          <w:sz w:val="18"/>
        </w:rPr>
        <w:t> </w:t>
      </w:r>
      <w:r>
        <w:rPr>
          <w:sz w:val="18"/>
        </w:rPr>
        <w:t>Sklep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2011/833/EU</w:t>
      </w:r>
      <w:r>
        <w:rPr>
          <w:spacing w:val="-4"/>
          <w:sz w:val="18"/>
        </w:rPr>
        <w:t> </w:t>
      </w:r>
      <w:r>
        <w:rPr>
          <w:sz w:val="18"/>
        </w:rPr>
        <w:t>z</w:t>
      </w:r>
      <w:r>
        <w:rPr>
          <w:spacing w:val="-4"/>
          <w:sz w:val="18"/>
        </w:rPr>
        <w:t> </w:t>
      </w:r>
      <w:r>
        <w:rPr>
          <w:sz w:val="18"/>
        </w:rPr>
        <w:t>dne</w:t>
      </w:r>
      <w:r>
        <w:rPr>
          <w:spacing w:val="-4"/>
          <w:sz w:val="18"/>
        </w:rPr>
        <w:t> </w:t>
      </w:r>
      <w:r>
        <w:rPr>
          <w:sz w:val="18"/>
        </w:rPr>
        <w:t>12.</w:t>
      </w:r>
      <w:r>
        <w:rPr>
          <w:spacing w:val="-4"/>
          <w:sz w:val="18"/>
        </w:rPr>
        <w:t> </w:t>
      </w:r>
      <w:r>
        <w:rPr>
          <w:sz w:val="18"/>
        </w:rPr>
        <w:t>decembra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o</w:t>
      </w:r>
      <w:r>
        <w:rPr>
          <w:spacing w:val="-4"/>
          <w:sz w:val="18"/>
        </w:rPr>
        <w:t> </w:t>
      </w:r>
      <w:r>
        <w:rPr>
          <w:sz w:val="18"/>
        </w:rPr>
        <w:t>ponovni</w:t>
      </w:r>
      <w:r>
        <w:rPr>
          <w:spacing w:val="-4"/>
          <w:sz w:val="18"/>
        </w:rPr>
        <w:t> </w:t>
      </w:r>
      <w:r>
        <w:rPr>
          <w:sz w:val="18"/>
        </w:rPr>
        <w:t>uporabi</w:t>
      </w:r>
      <w:r>
        <w:rPr>
          <w:spacing w:val="-4"/>
          <w:sz w:val="18"/>
        </w:rPr>
        <w:t> </w:t>
      </w:r>
      <w:r>
        <w:rPr>
          <w:sz w:val="18"/>
        </w:rPr>
        <w:t>dokumentov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(UL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 14.12.2011, str.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618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784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3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4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5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6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l" TargetMode="External"/><Relationship Id="rId11" Type="http://schemas.openxmlformats.org/officeDocument/2006/relationships/hyperlink" Target="https://european-union.europa.eu/contact-eu/write-us_sl" TargetMode="External"/><Relationship Id="rId12" Type="http://schemas.openxmlformats.org/officeDocument/2006/relationships/hyperlink" Target="https://european-union.europa.eu/index_sl" TargetMode="External"/><Relationship Id="rId13" Type="http://schemas.openxmlformats.org/officeDocument/2006/relationships/hyperlink" Target="https://op.europa.eu/sl/publications" TargetMode="External"/><Relationship Id="rId14" Type="http://schemas.openxmlformats.org/officeDocument/2006/relationships/hyperlink" Target="https://europa.eu/european-union/contact_sl" TargetMode="External"/><Relationship Id="rId15" Type="http://schemas.openxmlformats.org/officeDocument/2006/relationships/hyperlink" Target="https://eur-lex.europa.eu/" TargetMode="External"/><Relationship Id="rId16" Type="http://schemas.openxmlformats.org/officeDocument/2006/relationships/hyperlink" Target="https://data.europa.eu/sl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SL</dc:title>
  <dcterms:created xsi:type="dcterms:W3CDTF">2025-04-28T11:42:52Z</dcterms:created>
  <dcterms:modified xsi:type="dcterms:W3CDTF">2025-04-28T11:42:52Z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