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Commission – S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SL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line="550" w:lineRule="atLeast" w:before="8"/>
        <w:ind w:left="160" w:right="5676"/>
      </w:pPr>
      <w:r>
        <w:rPr/>
        <w:t>Rokopis je bil dokončan [mesec] [leto] Revidirana</w:t>
      </w:r>
      <w:r>
        <w:rPr>
          <w:spacing w:val="-13"/>
        </w:rPr>
        <w:t> </w:t>
      </w:r>
      <w:r>
        <w:rPr/>
        <w:t>izdaja/Popravljena</w:t>
      </w:r>
      <w:r>
        <w:rPr>
          <w:spacing w:val="-13"/>
        </w:rPr>
        <w:t> </w:t>
      </w:r>
      <w:r>
        <w:rPr/>
        <w:t>izdaja/n.</w:t>
      </w:r>
      <w:r>
        <w:rPr>
          <w:spacing w:val="-13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left="160" w:right="4320"/>
      </w:pPr>
      <w:r>
        <w:rPr/>
        <w:t>Ta dokument ni uradno stališče Evropske komisije. Luxembourg:</w:t>
      </w:r>
      <w:r>
        <w:rPr>
          <w:spacing w:val="-7"/>
        </w:rPr>
        <w:t> </w:t>
      </w:r>
      <w:r>
        <w:rPr/>
        <w:t>Urad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Evropske</w:t>
      </w:r>
      <w:r>
        <w:rPr>
          <w:spacing w:val="-7"/>
        </w:rPr>
        <w:t> </w:t>
      </w:r>
      <w:r>
        <w:rPr/>
        <w:t>unije,</w:t>
      </w:r>
      <w:r>
        <w:rPr>
          <w:spacing w:val="-7"/>
        </w:rPr>
        <w:t> </w:t>
      </w:r>
      <w:r>
        <w:rPr/>
        <w:t>[letnica]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5"/>
        </w:rPr>
        <w:t> </w:t>
      </w:r>
      <w:r>
        <w:rPr/>
        <w:t>Evropska</w:t>
      </w:r>
      <w:r>
        <w:rPr>
          <w:spacing w:val="-5"/>
        </w:rPr>
        <w:t> </w:t>
      </w:r>
      <w:r>
        <w:rPr/>
        <w:t>unija,</w:t>
      </w:r>
      <w:r>
        <w:rPr>
          <w:spacing w:val="-5"/>
        </w:rPr>
        <w:t> </w:t>
      </w:r>
      <w:r>
        <w:rPr>
          <w:spacing w:val="-2"/>
        </w:rPr>
        <w:t>[letnica]</w:t>
      </w:r>
    </w:p>
    <w:p>
      <w:pPr>
        <w:pStyle w:val="BodyText"/>
        <w:spacing w:before="11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66038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9899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6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5,1095,398,1100,352,1113,308,1134,268,1165,232,1200,202,1240,180,1283,168,1329,163,1377,168,1420,180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2,1519,360,1518,359,1508,324,1490,291,1466,262,1436,237,1404,220,1369,209,1330,206,1465,206,1496,232,1526,267,1547,307,1560,351,1564,398,1564,398,1560,445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6"/>
        <w:ind w:left="160"/>
      </w:pPr>
      <w:r>
        <w:rPr/>
        <w:t>Politika</w:t>
      </w:r>
      <w:r>
        <w:rPr>
          <w:spacing w:val="-9"/>
        </w:rPr>
        <w:t> </w:t>
      </w:r>
      <w:r>
        <w:rPr/>
        <w:t>Komisije</w:t>
      </w:r>
      <w:r>
        <w:rPr>
          <w:spacing w:val="-6"/>
        </w:rPr>
        <w:t> </w:t>
      </w:r>
      <w:r>
        <w:rPr/>
        <w:t>glede</w:t>
      </w:r>
      <w:r>
        <w:rPr>
          <w:spacing w:val="-6"/>
        </w:rPr>
        <w:t> </w:t>
      </w:r>
      <w:r>
        <w:rPr/>
        <w:t>ponovne</w:t>
      </w:r>
      <w:r>
        <w:rPr>
          <w:spacing w:val="-6"/>
        </w:rPr>
        <w:t> </w:t>
      </w:r>
      <w:r>
        <w:rPr/>
        <w:t>uporabe</w:t>
      </w:r>
      <w:r>
        <w:rPr>
          <w:spacing w:val="-7"/>
        </w:rPr>
        <w:t> </w:t>
      </w:r>
      <w:r>
        <w:rPr/>
        <w:t>se</w:t>
      </w:r>
      <w:r>
        <w:rPr>
          <w:spacing w:val="-6"/>
        </w:rPr>
        <w:t> </w:t>
      </w:r>
      <w:r>
        <w:rPr/>
        <w:t>izvaja</w:t>
      </w:r>
      <w:r>
        <w:rPr>
          <w:spacing w:val="-6"/>
        </w:rPr>
        <w:t> </w:t>
      </w:r>
      <w:r>
        <w:rPr/>
        <w:t>na</w:t>
      </w:r>
      <w:r>
        <w:rPr>
          <w:spacing w:val="-6"/>
        </w:rPr>
        <w:t> </w:t>
      </w:r>
      <w:r>
        <w:rPr/>
        <w:t>podlagi</w:t>
      </w:r>
      <w:r>
        <w:rPr>
          <w:spacing w:val="-7"/>
        </w:rPr>
        <w:t> </w:t>
      </w:r>
      <w:r>
        <w:rPr/>
        <w:t>Sklepa</w:t>
      </w:r>
      <w:r>
        <w:rPr>
          <w:spacing w:val="-6"/>
        </w:rPr>
        <w:t> </w:t>
      </w:r>
      <w:r>
        <w:rPr/>
        <w:t>Komisije</w:t>
      </w:r>
      <w:r>
        <w:rPr>
          <w:spacing w:val="-6"/>
        </w:rPr>
        <w:t> </w:t>
      </w:r>
      <w:r>
        <w:rPr/>
        <w:t>2011/833/EU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>
          <w:spacing w:val="-5"/>
        </w:rPr>
        <w:t>dne</w:t>
      </w:r>
    </w:p>
    <w:p>
      <w:pPr>
        <w:pStyle w:val="BodyText"/>
        <w:spacing w:line="244" w:lineRule="auto" w:before="4"/>
        <w:ind w:left="160"/>
      </w:pPr>
      <w:r>
        <w:rPr/>
        <w:t>12.</w:t>
      </w:r>
      <w:r>
        <w:rPr>
          <w:spacing w:val="-7"/>
        </w:rPr>
        <w:t> </w:t>
      </w:r>
      <w:r>
        <w:rPr/>
        <w:t>decembra</w:t>
      </w:r>
      <w:r>
        <w:rPr>
          <w:spacing w:val="-7"/>
        </w:rPr>
        <w:t> </w:t>
      </w:r>
      <w:r>
        <w:rPr/>
        <w:t>2011</w:t>
      </w:r>
      <w:r>
        <w:rPr>
          <w:spacing w:val="-7"/>
        </w:rPr>
        <w:t> </w:t>
      </w:r>
      <w:r>
        <w:rPr/>
        <w:t>o</w:t>
      </w:r>
      <w:r>
        <w:rPr>
          <w:spacing w:val="-7"/>
        </w:rPr>
        <w:t> </w:t>
      </w:r>
      <w:r>
        <w:rPr/>
        <w:t>ponovni</w:t>
      </w:r>
      <w:r>
        <w:rPr>
          <w:spacing w:val="-7"/>
        </w:rPr>
        <w:t> </w:t>
      </w:r>
      <w:r>
        <w:rPr/>
        <w:t>uporabi</w:t>
      </w:r>
      <w:r>
        <w:rPr>
          <w:spacing w:val="-7"/>
        </w:rPr>
        <w:t> </w:t>
      </w:r>
      <w:r>
        <w:rPr/>
        <w:t>dokumentov</w:t>
      </w:r>
      <w:r>
        <w:rPr>
          <w:spacing w:val="-7"/>
        </w:rPr>
        <w:t> </w:t>
      </w:r>
      <w:r>
        <w:rPr/>
        <w:t>(UL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str.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9"/>
        <w:ind w:left="160" w:right="161"/>
      </w:pPr>
      <w:r>
        <w:rPr/>
        <w:t>Če ni drugače navedeno, je ponovna uporaba tega dokumenta dovoljena na podlagi licence Creative Commons</w:t>
      </w:r>
      <w:r>
        <w:rPr>
          <w:spacing w:val="-8"/>
        </w:rPr>
        <w:t> </w:t>
      </w:r>
      <w:r>
        <w:rPr/>
        <w:t>Attribution</w:t>
      </w:r>
      <w:r>
        <w:rPr>
          <w:spacing w:val="-8"/>
        </w:rPr>
        <w:t> </w:t>
      </w:r>
      <w:r>
        <w:rPr/>
        <w:t>4.0</w:t>
      </w:r>
      <w:r>
        <w:rPr>
          <w:spacing w:val="-8"/>
        </w:rPr>
        <w:t> </w:t>
      </w:r>
      <w:r>
        <w:rPr/>
        <w:t>International</w:t>
      </w:r>
      <w:r>
        <w:rPr>
          <w:spacing w:val="-8"/>
        </w:rPr>
        <w:t> </w:t>
      </w:r>
      <w:r>
        <w:rPr/>
        <w:t>(CC</w:t>
      </w:r>
      <w:r>
        <w:rPr>
          <w:spacing w:val="-8"/>
        </w:rPr>
        <w:t> </w:t>
      </w:r>
      <w:r>
        <w:rPr/>
        <w:t>BY</w:t>
      </w:r>
      <w:r>
        <w:rPr>
          <w:spacing w:val="-8"/>
        </w:rPr>
        <w:t> </w:t>
      </w:r>
      <w:r>
        <w:rPr/>
        <w:t>4.0)</w:t>
      </w:r>
      <w:r>
        <w:rPr>
          <w:spacing w:val="-8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8"/>
          <w:u w:val="none"/>
        </w:rPr>
        <w:t> </w:t>
      </w:r>
      <w:r>
        <w:rPr>
          <w:u w:val="none"/>
        </w:rPr>
        <w:t>To</w:t>
      </w:r>
      <w:r>
        <w:rPr>
          <w:spacing w:val="-8"/>
          <w:u w:val="none"/>
        </w:rPr>
        <w:t> </w:t>
      </w:r>
      <w:r>
        <w:rPr>
          <w:u w:val="none"/>
        </w:rPr>
        <w:t>pomeni, da je ponovna uporaba dovoljena, če je ustrezno naveden vir in so označene morebitne spremembe.</w:t>
      </w:r>
    </w:p>
    <w:p>
      <w:pPr>
        <w:pStyle w:val="BodyText"/>
        <w:spacing w:before="92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Za uporabo ali reprodukcijo elementov, ki niso last Evropske unije, je morda treba za dovoljenje zaprositi neposredno</w:t>
      </w:r>
      <w:r>
        <w:rPr>
          <w:spacing w:val="-4"/>
        </w:rPr>
        <w:t> </w:t>
      </w:r>
      <w:r>
        <w:rPr/>
        <w:t>imetnike</w:t>
      </w:r>
      <w:r>
        <w:rPr>
          <w:spacing w:val="-4"/>
        </w:rPr>
        <w:t> </w:t>
      </w:r>
      <w:r>
        <w:rPr/>
        <w:t>pravic.</w:t>
      </w:r>
      <w:r>
        <w:rPr>
          <w:spacing w:val="-3"/>
        </w:rPr>
        <w:t> </w:t>
      </w:r>
      <w:r>
        <w:rPr/>
        <w:t>Evropska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ni</w:t>
      </w:r>
      <w:r>
        <w:rPr>
          <w:spacing w:val="-4"/>
        </w:rPr>
        <w:t> </w:t>
      </w:r>
      <w:r>
        <w:rPr/>
        <w:t>[imetnica/imetnik]</w:t>
      </w:r>
      <w:r>
        <w:rPr>
          <w:spacing w:val="-4"/>
        </w:rPr>
        <w:t> </w:t>
      </w:r>
      <w:r>
        <w:rPr/>
        <w:t>avtorskih</w:t>
      </w:r>
      <w:r>
        <w:rPr>
          <w:spacing w:val="-4"/>
        </w:rPr>
        <w:t> </w:t>
      </w:r>
      <w:r>
        <w:rPr/>
        <w:t>pravic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zvezi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naslednjimi</w:t>
      </w:r>
      <w:r>
        <w:rPr>
          <w:spacing w:val="-4"/>
        </w:rPr>
        <w:t> </w:t>
      </w:r>
      <w:r>
        <w:rPr/>
        <w:t>elementi: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6"/>
          <w:sz w:val="20"/>
        </w:rPr>
        <w:t> </w:t>
      </w:r>
      <w:r>
        <w:rPr>
          <w:sz w:val="20"/>
        </w:rPr>
        <w:t>vse</w:t>
      </w:r>
      <w:r>
        <w:rPr>
          <w:spacing w:val="-6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4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5" w:after="0"/>
        <w:ind w:left="880" w:right="0" w:hanging="380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> </w:t>
      </w:r>
      <w:r>
        <w:rPr>
          <w:sz w:val="20"/>
        </w:rPr>
        <w:t>str.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6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97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</w:t>
      </w:r>
      <w:r>
        <w:rPr>
          <w:spacing w:val="-4"/>
        </w:rPr>
        <w:t> </w:t>
      </w:r>
      <w:r>
        <w:rPr/>
        <w:t>dovoljenje</w:t>
      </w:r>
      <w:r>
        <w:rPr>
          <w:spacing w:val="-4"/>
        </w:rPr>
        <w:t> </w:t>
      </w:r>
      <w:r>
        <w:rPr/>
        <w:t>zaprositi neposredno imetnike pravic.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286761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579617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6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spacing w:val="-2"/>
          <w:w w:val="110"/>
          <w:sz w:val="18"/>
        </w:rPr>
        <w:t>©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Evropska</w:t>
      </w:r>
      <w:r>
        <w:rPr>
          <w:rFonts w:ascii="Gill Sans MT" w:hAnsi="Gill Sans MT"/>
          <w:spacing w:val="-4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unija,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[letnica]</w:t>
      </w:r>
    </w:p>
    <w:p>
      <w:pPr>
        <w:spacing w:line="268" w:lineRule="auto" w:before="26"/>
        <w:ind w:left="460" w:right="568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Ponovna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je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dovoljena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navedbo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vira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če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prvotni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pomen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ali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sporočilo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tega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nista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izkrivljena. Evropska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ni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odgovorna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za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posledice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ponovne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uporabe.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Politiko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ponovne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uporabe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dokumentov</w:t>
      </w:r>
      <w:r>
        <w:rPr>
          <w:rFonts w:ascii="Gill Sans MT" w:hAnsi="Gill Sans MT"/>
          <w:spacing w:val="-5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Evropske komisije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ureja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Sklep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Komisije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2011/833/EU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z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dne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decembra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ponovni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uporabi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dokumentov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Komisije</w:t>
      </w:r>
      <w:r>
        <w:rPr>
          <w:rFonts w:ascii="Gill Sans MT" w:hAnsi="Gill Sans MT"/>
          <w:spacing w:val="-14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(UL </w:t>
      </w:r>
      <w:r>
        <w:rPr>
          <w:rFonts w:ascii="Gill Sans MT" w:hAnsi="Gill Sans MT"/>
          <w:w w:val="115"/>
          <w:sz w:val="18"/>
        </w:rPr>
        <w:t>L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330,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14.12.2011,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str.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39,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ELI:</w:t>
      </w:r>
      <w:r>
        <w:rPr>
          <w:rFonts w:ascii="Gill Sans MT" w:hAnsi="Gill Sans MT"/>
          <w:spacing w:val="-15"/>
          <w:w w:val="115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7"/>
        <w:ind w:left="443" w:right="161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 spletu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european-union.europa.eu/contact-eu/meet-us_sl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line="290" w:lineRule="auto" w:before="166"/>
        <w:ind w:left="443" w:right="568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ki</w:t>
      </w:r>
      <w:r>
        <w:rPr>
          <w:spacing w:val="-4"/>
          <w:sz w:val="22"/>
        </w:rPr>
        <w:t> </w:t>
      </w:r>
      <w:r>
        <w:rPr>
          <w:sz w:val="22"/>
        </w:rPr>
        <w:t>odgovarja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4"/>
          <w:sz w:val="22"/>
        </w:rPr>
        <w:t> </w:t>
      </w:r>
      <w:r>
        <w:rPr>
          <w:sz w:val="22"/>
        </w:rPr>
        <w:t>vprašanja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Evropski</w:t>
      </w:r>
      <w:r>
        <w:rPr>
          <w:spacing w:val="-4"/>
          <w:sz w:val="22"/>
        </w:rPr>
        <w:t> </w:t>
      </w:r>
      <w:r>
        <w:rPr>
          <w:sz w:val="22"/>
        </w:rPr>
        <w:t>uniji.</w:t>
      </w:r>
      <w:r>
        <w:rPr>
          <w:spacing w:val="-4"/>
          <w:sz w:val="22"/>
        </w:rPr>
        <w:t> </w:t>
      </w:r>
      <w:r>
        <w:rPr>
          <w:sz w:val="22"/>
        </w:rPr>
        <w:t>Nanjo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lahko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827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 lahko klic zaračunajo),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4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736" w:firstLine="0"/>
        <w:jc w:val="left"/>
        <w:rPr>
          <w:sz w:val="22"/>
        </w:rPr>
      </w:pPr>
      <w:r>
        <w:rPr>
          <w:sz w:val="22"/>
        </w:rPr>
        <w:t>Publikacije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si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ogledate</w:t>
      </w:r>
      <w:r>
        <w:rPr>
          <w:spacing w:val="-4"/>
          <w:sz w:val="22"/>
        </w:rPr>
        <w:t> </w:t>
      </w:r>
      <w:r>
        <w:rPr>
          <w:sz w:val="22"/>
        </w:rPr>
        <w:t>ali</w:t>
      </w:r>
      <w:r>
        <w:rPr>
          <w:spacing w:val="-4"/>
          <w:sz w:val="22"/>
        </w:rPr>
        <w:t> </w:t>
      </w:r>
      <w:r>
        <w:rPr>
          <w:sz w:val="22"/>
        </w:rPr>
        <w:t>naročite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op.europa.eu/sl/publications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več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izvodov brezplačnih publikacij se obrnite na Europe Direct ali najbližji dokumentacijski center </w:t>
      </w:r>
      <w:r>
        <w:rPr>
          <w:spacing w:val="-2"/>
          <w:sz w:val="22"/>
          <w:u w:val="none"/>
        </w:rPr>
        <w:t>(</w:t>
      </w:r>
      <w:hyperlink r:id="rId14">
        <w:r>
          <w:rPr>
            <w:color w:val="337AB7"/>
            <w:spacing w:val="-2"/>
            <w:sz w:val="22"/>
            <w:u w:val="single" w:color="337AB7"/>
          </w:rPr>
          <w:t>europeanunion.europa.eu/contact-eu/meet-us_sl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5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43" w:right="1084" w:firstLine="0"/>
        <w:jc w:val="left"/>
        <w:rPr>
          <w:sz w:val="22"/>
        </w:rPr>
      </w:pPr>
      <w:r>
        <w:rPr>
          <w:sz w:val="22"/>
        </w:rPr>
        <w:t>Na portalu </w:t>
      </w:r>
      <w:hyperlink r:id="rId16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lahko dostopate do odprtih zbirk podatkov institucij, organov 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brezplačno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prenesete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ponovno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uporabite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</w:p>
    <w:p>
      <w:pPr>
        <w:spacing w:line="290" w:lineRule="auto" w:before="0"/>
        <w:ind w:left="443" w:right="0" w:firstLine="0"/>
        <w:jc w:val="left"/>
        <w:rPr>
          <w:sz w:val="22"/>
        </w:rPr>
      </w:pPr>
      <w:r>
        <w:rPr>
          <w:sz w:val="22"/>
        </w:rPr>
        <w:t>komercialne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nekomercialne</w:t>
      </w:r>
      <w:r>
        <w:rPr>
          <w:spacing w:val="-4"/>
          <w:sz w:val="22"/>
        </w:rPr>
        <w:t> </w:t>
      </w:r>
      <w:r>
        <w:rPr>
          <w:sz w:val="22"/>
        </w:rPr>
        <w:t>namene.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r>
        <w:rPr>
          <w:sz w:val="22"/>
        </w:rPr>
        <w:t>so</w:t>
      </w:r>
      <w:r>
        <w:rPr>
          <w:spacing w:val="-4"/>
          <w:sz w:val="22"/>
        </w:rPr>
        <w:t> </w:t>
      </w:r>
      <w:r>
        <w:rPr>
          <w:sz w:val="22"/>
        </w:rPr>
        <w:t>dostopne</w:t>
      </w:r>
      <w:r>
        <w:rPr>
          <w:spacing w:val="-4"/>
          <w:sz w:val="22"/>
        </w:rPr>
        <w:t> </w:t>
      </w:r>
      <w:r>
        <w:rPr>
          <w:sz w:val="22"/>
        </w:rPr>
        <w:t>tudi</w:t>
      </w:r>
      <w:r>
        <w:rPr>
          <w:spacing w:val="-4"/>
          <w:sz w:val="22"/>
        </w:rPr>
        <w:t> </w:t>
      </w:r>
      <w:r>
        <w:rPr>
          <w:sz w:val="22"/>
        </w:rPr>
        <w:t>številne</w:t>
      </w:r>
      <w:r>
        <w:rPr>
          <w:spacing w:val="-4"/>
          <w:sz w:val="22"/>
        </w:rPr>
        <w:t> </w:t>
      </w:r>
      <w:r>
        <w:rPr>
          <w:sz w:val="22"/>
        </w:rPr>
        <w:t>zbirke</w:t>
      </w:r>
      <w:r>
        <w:rPr>
          <w:spacing w:val="-4"/>
          <w:sz w:val="22"/>
        </w:rPr>
        <w:t> </w:t>
      </w:r>
      <w:r>
        <w:rPr>
          <w:sz w:val="22"/>
        </w:rPr>
        <w:t>podatkov</w:t>
      </w:r>
      <w:r>
        <w:rPr>
          <w:spacing w:val="-4"/>
          <w:sz w:val="22"/>
        </w:rPr>
        <w:t> </w:t>
      </w:r>
      <w:r>
        <w:rPr>
          <w:sz w:val="22"/>
        </w:rPr>
        <w:t>iz evropskih držav.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sl-S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sl-S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l" TargetMode="External"/><Relationship Id="rId11" Type="http://schemas.openxmlformats.org/officeDocument/2006/relationships/hyperlink" Target="https://european-union.europa.eu/contact-eu/write-us_sl" TargetMode="External"/><Relationship Id="rId12" Type="http://schemas.openxmlformats.org/officeDocument/2006/relationships/hyperlink" Target="https://european-union.europa.eu/index_sl" TargetMode="External"/><Relationship Id="rId13" Type="http://schemas.openxmlformats.org/officeDocument/2006/relationships/hyperlink" Target="https://op.europa.eu/sl/publications" TargetMode="External"/><Relationship Id="rId14" Type="http://schemas.openxmlformats.org/officeDocument/2006/relationships/hyperlink" Target="https://europa.eu/european-union/contact_sl" TargetMode="External"/><Relationship Id="rId15" Type="http://schemas.openxmlformats.org/officeDocument/2006/relationships/hyperlink" Target="https://eur-lex.europa.eu/" TargetMode="External"/><Relationship Id="rId16" Type="http://schemas.openxmlformats.org/officeDocument/2006/relationships/hyperlink" Target="https://data.europa.eu/sl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SL</dc:title>
  <dcterms:created xsi:type="dcterms:W3CDTF">2025-01-15T08:56:08Z</dcterms:created>
  <dcterms:modified xsi:type="dcterms:W3CDTF">2025-01-15T08:56:08Z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