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HR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HR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left="85" w:right="4934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4934"/>
      </w:pPr>
      <w:r>
        <w:rPr/>
        <w:t>Ovaj</w:t>
      </w:r>
      <w:r>
        <w:rPr>
          <w:spacing w:val="-1"/>
        </w:rPr>
        <w:t> </w:t>
      </w:r>
      <w:r>
        <w:rPr/>
        <w:t>dokument</w:t>
      </w:r>
      <w:r>
        <w:rPr>
          <w:spacing w:val="-2"/>
        </w:rPr>
        <w:t> </w:t>
      </w:r>
      <w:r>
        <w:rPr/>
        <w:t>nije</w:t>
      </w:r>
      <w:r>
        <w:rPr>
          <w:spacing w:val="-1"/>
        </w:rPr>
        <w:t> </w:t>
      </w:r>
      <w:r>
        <w:rPr/>
        <w:t>službeno</w:t>
      </w:r>
      <w:r>
        <w:rPr>
          <w:spacing w:val="-2"/>
        </w:rPr>
        <w:t> </w:t>
      </w:r>
      <w:r>
        <w:rPr/>
        <w:t>stajalište</w:t>
      </w:r>
      <w:r>
        <w:rPr>
          <w:spacing w:val="-1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komisije. Luxembourg:</w:t>
      </w:r>
      <w:r>
        <w:rPr>
          <w:spacing w:val="-7"/>
        </w:rPr>
        <w:t> </w:t>
      </w:r>
      <w:r>
        <w:rPr/>
        <w:t>Ured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Europske</w:t>
      </w:r>
      <w:r>
        <w:rPr>
          <w:spacing w:val="-7"/>
        </w:rPr>
        <w:t> </w:t>
      </w:r>
      <w:r>
        <w:rPr/>
        <w:t>unije,</w:t>
      </w:r>
      <w:r>
        <w:rPr>
          <w:spacing w:val="-6"/>
        </w:rPr>
        <w:t> </w:t>
      </w:r>
      <w:r>
        <w:rPr>
          <w:spacing w:val="-2"/>
        </w:rPr>
        <w:t>[godina.]</w:t>
      </w:r>
    </w:p>
    <w:p>
      <w:pPr>
        <w:pStyle w:val="BodyText"/>
        <w:spacing w:line="348" w:lineRule="auto"/>
        <w:ind w:left="85" w:right="7513"/>
      </w:pPr>
      <w:r>
        <w:rPr/>
        <w:t>© [Izvršna agencija], [godina.]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85" w:right="234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[Izvršna</w:t>
      </w:r>
      <w:r>
        <w:rPr>
          <w:spacing w:val="-4"/>
        </w:rPr>
        <w:t> </w:t>
      </w:r>
      <w:r>
        <w:rPr/>
        <w:t>agencija],</w:t>
      </w:r>
      <w:r>
        <w:rPr>
          <w:spacing w:val="-4"/>
        </w:rPr>
        <w:t> </w:t>
      </w:r>
      <w:r>
        <w:rPr/>
        <w:t>[godina.]</w:t>
      </w:r>
      <w:r>
        <w:rPr>
          <w:spacing w:val="-3"/>
        </w:rPr>
        <w:t> </w:t>
      </w:r>
      <w:r>
        <w:rPr/>
        <w:t>Određeni</w:t>
      </w:r>
      <w:r>
        <w:rPr>
          <w:spacing w:val="-4"/>
        </w:rPr>
        <w:t> </w:t>
      </w:r>
      <w:r>
        <w:rPr/>
        <w:t>sadržaj</w:t>
      </w:r>
      <w:r>
        <w:rPr>
          <w:spacing w:val="-4"/>
        </w:rPr>
        <w:t> </w:t>
      </w:r>
      <w:r>
        <w:rPr/>
        <w:t>stvoren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</w:t>
      </w:r>
      <w:r>
        <w:rPr>
          <w:spacing w:val="-4"/>
        </w:rPr>
        <w:t> </w:t>
      </w:r>
      <w:r>
        <w:rPr/>
        <w:t>pomoću</w:t>
      </w:r>
      <w:r>
        <w:rPr>
          <w:spacing w:val="-4"/>
        </w:rPr>
        <w:t> </w:t>
      </w:r>
      <w:r>
        <w:rPr/>
        <w:t>[naziv</w:t>
      </w:r>
      <w:r>
        <w:rPr>
          <w:spacing w:val="-4"/>
        </w:rPr>
        <w:t> </w:t>
      </w:r>
      <w:r>
        <w:rPr/>
        <w:t>alata</w:t>
      </w:r>
      <w:r>
        <w:rPr>
          <w:spacing w:val="-4"/>
        </w:rPr>
        <w:t> </w:t>
      </w:r>
      <w:r>
        <w:rPr/>
        <w:t>UI].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 w:right="423"/>
      </w:pPr>
      <w:r>
        <w:rPr/>
        <w:t>Izvršne agencije primjenjuju politikuKomisije o ponovnoj uporabi, koja se provodi Odlukom Komisije 2011/833/ EU</w:t>
      </w:r>
      <w:r>
        <w:rPr>
          <w:spacing w:val="-6"/>
        </w:rPr>
        <w:t> </w:t>
      </w:r>
      <w:r>
        <w:rPr/>
        <w:t>od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prosinca</w:t>
      </w:r>
      <w:r>
        <w:rPr>
          <w:spacing w:val="-6"/>
        </w:rPr>
        <w:t> </w:t>
      </w:r>
      <w:r>
        <w:rPr/>
        <w:t>2011.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ponovnoj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dokumenata</w:t>
      </w:r>
      <w:r>
        <w:rPr>
          <w:spacing w:val="-6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(SL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14.12.2011.,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39.,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85"/>
      </w:pPr>
      <w:r>
        <w:rPr/>
        <w:t>Osim ako je navedeno drukčije, ponovna uporaba ovog dokumenta dopuštena je u skladu s licencijom Creative 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znači</w:t>
      </w:r>
      <w:r>
        <w:rPr>
          <w:spacing w:val="-6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 ponovna uporaba dopuštena uz navođenje relevantnih podataka i svih izmjena.</w:t>
      </w:r>
    </w:p>
    <w:p>
      <w:pPr>
        <w:pStyle w:val="BodyText"/>
        <w:spacing w:before="74"/>
      </w:pPr>
    </w:p>
    <w:p>
      <w:pPr>
        <w:pStyle w:val="BodyText"/>
        <w:ind w:left="85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 w:right="406"/>
        <w:jc w:val="both"/>
      </w:pPr>
      <w:r>
        <w:rPr/>
        <w:t>Za</w:t>
      </w:r>
      <w:r>
        <w:rPr>
          <w:spacing w:val="-2"/>
        </w:rPr>
        <w:t> </w:t>
      </w:r>
      <w:r>
        <w:rPr/>
        <w:t>svaku</w:t>
      </w:r>
      <w:r>
        <w:rPr>
          <w:spacing w:val="-2"/>
        </w:rPr>
        <w:t> </w:t>
      </w:r>
      <w:r>
        <w:rPr/>
        <w:t>uporabu</w:t>
      </w:r>
      <w:r>
        <w:rPr>
          <w:spacing w:val="-2"/>
        </w:rPr>
        <w:t> </w:t>
      </w:r>
      <w:r>
        <w:rPr/>
        <w:t>ili</w:t>
      </w:r>
      <w:r>
        <w:rPr>
          <w:spacing w:val="-2"/>
        </w:rPr>
        <w:t> </w:t>
      </w:r>
      <w:r>
        <w:rPr/>
        <w:t>umnožavanje</w:t>
      </w:r>
      <w:r>
        <w:rPr>
          <w:spacing w:val="-2"/>
        </w:rPr>
        <w:t> </w:t>
      </w:r>
      <w:r>
        <w:rPr/>
        <w:t>elemenata</w:t>
      </w:r>
      <w:r>
        <w:rPr>
          <w:spacing w:val="-2"/>
        </w:rPr>
        <w:t> </w:t>
      </w:r>
      <w:r>
        <w:rPr/>
        <w:t>koji</w:t>
      </w:r>
      <w:r>
        <w:rPr>
          <w:spacing w:val="-2"/>
        </w:rPr>
        <w:t> </w:t>
      </w:r>
      <w:r>
        <w:rPr/>
        <w:t>nisu</w:t>
      </w:r>
      <w:r>
        <w:rPr>
          <w:spacing w:val="-2"/>
        </w:rPr>
        <w:t> </w:t>
      </w:r>
      <w:r>
        <w:rPr/>
        <w:t>u</w:t>
      </w:r>
      <w:r>
        <w:rPr>
          <w:spacing w:val="-2"/>
        </w:rPr>
        <w:t> </w:t>
      </w:r>
      <w:r>
        <w:rPr/>
        <w:t>vlasništvu</w:t>
      </w:r>
      <w:r>
        <w:rPr>
          <w:spacing w:val="-2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unije</w:t>
      </w:r>
      <w:r>
        <w:rPr>
          <w:spacing w:val="-2"/>
        </w:rPr>
        <w:t> </w:t>
      </w:r>
      <w:r>
        <w:rPr/>
        <w:t>ili</w:t>
      </w:r>
      <w:r>
        <w:rPr>
          <w:spacing w:val="-2"/>
        </w:rPr>
        <w:t> </w:t>
      </w:r>
      <w:r>
        <w:rPr/>
        <w:t>[izvršne</w:t>
      </w:r>
      <w:r>
        <w:rPr>
          <w:spacing w:val="-2"/>
        </w:rPr>
        <w:t> </w:t>
      </w:r>
      <w:r>
        <w:rPr/>
        <w:t>agencije]</w:t>
      </w:r>
      <w:r>
        <w:rPr>
          <w:spacing w:val="-2"/>
        </w:rPr>
        <w:t> </w:t>
      </w:r>
      <w:r>
        <w:rPr/>
        <w:t>možda</w:t>
      </w:r>
      <w:r>
        <w:rPr>
          <w:spacing w:val="-2"/>
        </w:rPr>
        <w:t> </w:t>
      </w:r>
      <w:r>
        <w:rPr/>
        <w:t>će biti</w:t>
      </w:r>
      <w:r>
        <w:rPr>
          <w:spacing w:val="-4"/>
        </w:rPr>
        <w:t> </w:t>
      </w:r>
      <w:r>
        <w:rPr/>
        <w:t>potrebno</w:t>
      </w:r>
      <w:r>
        <w:rPr>
          <w:spacing w:val="-4"/>
        </w:rPr>
        <w:t> </w:t>
      </w:r>
      <w:r>
        <w:rPr/>
        <w:t>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4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ili</w:t>
      </w:r>
      <w:r>
        <w:rPr>
          <w:spacing w:val="-4"/>
        </w:rPr>
        <w:t> </w:t>
      </w:r>
      <w:r>
        <w:rPr/>
        <w:t>[izvršna</w:t>
      </w:r>
      <w:r>
        <w:rPr>
          <w:spacing w:val="-4"/>
        </w:rPr>
        <w:t> </w:t>
      </w:r>
      <w:r>
        <w:rPr/>
        <w:t>agencija]</w:t>
      </w:r>
      <w:r>
        <w:rPr>
          <w:spacing w:val="-4"/>
        </w:rPr>
        <w:t> </w:t>
      </w:r>
      <w:r>
        <w:rPr/>
        <w:t>ne posjeduje autorsko pravo koje se odnosi na sljedeće elemente: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both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both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841" w:hanging="380"/>
        <w:jc w:val="both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xx.,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both"/>
        <w:rPr>
          <w:sz w:val="20"/>
        </w:rPr>
      </w:pPr>
      <w:r>
        <w:rPr>
          <w:sz w:val="20"/>
        </w:rPr>
        <w:t>[ilustracija/fotografija/itd.]</w:t>
      </w:r>
      <w:r>
        <w:rPr>
          <w:spacing w:val="-8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80"/>
      </w:pPr>
    </w:p>
    <w:p>
      <w:pPr>
        <w:pStyle w:val="BodyText"/>
        <w:spacing w:before="1"/>
        <w:ind w:left="85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[izvršne</w:t>
      </w:r>
      <w:r>
        <w:rPr>
          <w:spacing w:val="-3"/>
        </w:rPr>
        <w:t> </w:t>
      </w:r>
      <w:r>
        <w:rPr/>
        <w:t>agencije]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 potrebno zatražiti dopuštenje izravno od odgovarajućih nositelja prava.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Ponovna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uporaba</w:t>
      </w:r>
      <w:r>
        <w:rPr>
          <w:spacing w:val="-3"/>
          <w:sz w:val="18"/>
        </w:rPr>
        <w:t> </w:t>
      </w:r>
      <w:r>
        <w:rPr>
          <w:sz w:val="18"/>
        </w:rPr>
        <w:t>dopuštena</w:t>
      </w:r>
      <w:r>
        <w:rPr>
          <w:spacing w:val="-3"/>
          <w:sz w:val="18"/>
        </w:rPr>
        <w:t> </w:t>
      </w:r>
      <w:r>
        <w:rPr>
          <w:sz w:val="18"/>
        </w:rPr>
        <w:t>uz</w:t>
      </w:r>
      <w:r>
        <w:rPr>
          <w:spacing w:val="-3"/>
          <w:sz w:val="18"/>
        </w:rPr>
        <w:t> </w:t>
      </w:r>
      <w:r>
        <w:rPr>
          <w:sz w:val="18"/>
        </w:rPr>
        <w:t>uvjet</w:t>
      </w:r>
      <w:r>
        <w:rPr>
          <w:spacing w:val="-3"/>
          <w:sz w:val="18"/>
        </w:rPr>
        <w:t> </w:t>
      </w:r>
      <w:r>
        <w:rPr>
          <w:sz w:val="18"/>
        </w:rPr>
        <w:t>navođenja</w:t>
      </w:r>
      <w:r>
        <w:rPr>
          <w:spacing w:val="-3"/>
          <w:sz w:val="18"/>
        </w:rPr>
        <w:t> </w:t>
      </w:r>
      <w:r>
        <w:rPr>
          <w:sz w:val="18"/>
        </w:rPr>
        <w:t>izvora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nenarušavanja</w:t>
      </w:r>
      <w:r>
        <w:rPr>
          <w:spacing w:val="-3"/>
          <w:sz w:val="18"/>
        </w:rPr>
        <w:t> </w:t>
      </w:r>
      <w:r>
        <w:rPr>
          <w:sz w:val="18"/>
        </w:rPr>
        <w:t>izvornog</w:t>
      </w:r>
      <w:r>
        <w:rPr>
          <w:spacing w:val="-3"/>
          <w:sz w:val="18"/>
        </w:rPr>
        <w:t> </w:t>
      </w:r>
      <w:r>
        <w:rPr>
          <w:sz w:val="18"/>
        </w:rPr>
        <w:t>značenja</w:t>
      </w:r>
      <w:r>
        <w:rPr>
          <w:spacing w:val="-3"/>
          <w:sz w:val="18"/>
        </w:rPr>
        <w:t> </w:t>
      </w:r>
      <w:r>
        <w:rPr>
          <w:sz w:val="18"/>
        </w:rPr>
        <w:t>ili</w:t>
      </w:r>
      <w:r>
        <w:rPr>
          <w:spacing w:val="-3"/>
          <w:sz w:val="18"/>
        </w:rPr>
        <w:t> </w:t>
      </w:r>
      <w:r>
        <w:rPr>
          <w:sz w:val="18"/>
        </w:rPr>
        <w:t>poruke</w:t>
      </w:r>
      <w:r>
        <w:rPr>
          <w:spacing w:val="-3"/>
          <w:sz w:val="18"/>
        </w:rPr>
        <w:t> </w:t>
      </w:r>
      <w:r>
        <w:rPr>
          <w:sz w:val="18"/>
        </w:rPr>
        <w:t>ovog</w:t>
      </w:r>
      <w:r>
        <w:rPr>
          <w:spacing w:val="-3"/>
          <w:sz w:val="18"/>
        </w:rPr>
        <w:t> </w:t>
      </w:r>
      <w:r>
        <w:rPr>
          <w:sz w:val="18"/>
        </w:rPr>
        <w:t>dokumenta. Europska komisija nije odgovorna za bilo kakve posljedice koje proizlaze iz ponovne uporabe ove publikacije. Politiku ponovne uporabe dokumenata Europske komisije uređuje Odluka Komisije 2011/833/EU od 12. prosinca 2011.</w:t>
      </w:r>
    </w:p>
    <w:p>
      <w:pPr>
        <w:spacing w:before="1"/>
        <w:ind w:left="745" w:right="0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9"/>
          <w:sz w:val="18"/>
        </w:rPr>
        <w:t> </w:t>
      </w:r>
      <w:r>
        <w:rPr>
          <w:sz w:val="18"/>
        </w:rPr>
        <w:t>ponovnoj</w:t>
      </w:r>
      <w:r>
        <w:rPr>
          <w:spacing w:val="-6"/>
          <w:sz w:val="18"/>
        </w:rPr>
        <w:t> </w:t>
      </w:r>
      <w:r>
        <w:rPr>
          <w:sz w:val="18"/>
        </w:rPr>
        <w:t>uporabi</w:t>
      </w:r>
      <w:r>
        <w:rPr>
          <w:spacing w:val="-6"/>
          <w:sz w:val="18"/>
        </w:rPr>
        <w:t> </w:t>
      </w:r>
      <w:r>
        <w:rPr>
          <w:sz w:val="18"/>
        </w:rPr>
        <w:t>dokumenata</w:t>
      </w:r>
      <w:r>
        <w:rPr>
          <w:spacing w:val="-6"/>
          <w:sz w:val="18"/>
        </w:rPr>
        <w:t> </w:t>
      </w:r>
      <w:r>
        <w:rPr>
          <w:sz w:val="18"/>
        </w:rPr>
        <w:t>Komisije</w:t>
      </w:r>
      <w:r>
        <w:rPr>
          <w:spacing w:val="-6"/>
          <w:sz w:val="18"/>
        </w:rPr>
        <w:t> </w:t>
      </w:r>
      <w:r>
        <w:rPr>
          <w:sz w:val="18"/>
        </w:rPr>
        <w:t>(SL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7"/>
          <w:sz w:val="18"/>
        </w:rPr>
        <w:t> </w:t>
      </w:r>
      <w:r>
        <w:rPr>
          <w:sz w:val="18"/>
        </w:rPr>
        <w:t>330,</w:t>
      </w:r>
      <w:r>
        <w:rPr>
          <w:spacing w:val="-6"/>
          <w:sz w:val="18"/>
        </w:rPr>
        <w:t> </w:t>
      </w:r>
      <w:r>
        <w:rPr>
          <w:sz w:val="18"/>
        </w:rPr>
        <w:t>14.12.2011.,</w:t>
      </w:r>
      <w:r>
        <w:rPr>
          <w:spacing w:val="-6"/>
          <w:sz w:val="18"/>
        </w:rPr>
        <w:t> </w:t>
      </w:r>
      <w:r>
        <w:rPr>
          <w:sz w:val="18"/>
        </w:rPr>
        <w:t>str.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369" w:right="423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166" w:after="0"/>
        <w:ind w:left="758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369" w:right="1272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369" w:right="423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369" w:right="0" w:firstLine="0"/>
        <w:jc w:val="left"/>
        <w:rPr>
          <w:sz w:val="22"/>
        </w:rPr>
      </w:pP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369" w:right="423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369" w:right="1103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369" w:right="423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r" TargetMode="External"/><Relationship Id="rId11" Type="http://schemas.openxmlformats.org/officeDocument/2006/relationships/hyperlink" Target="https://european-union.europa.eu/contact-eu/write-us_hr" TargetMode="External"/><Relationship Id="rId12" Type="http://schemas.openxmlformats.org/officeDocument/2006/relationships/hyperlink" Target="https://european-union.europa.eu/index_hr" TargetMode="External"/><Relationship Id="rId13" Type="http://schemas.openxmlformats.org/officeDocument/2006/relationships/hyperlink" Target="https://op.europa.eu/h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HR</dc:title>
  <dcterms:created xsi:type="dcterms:W3CDTF">2025-06-16T09:50:09Z</dcterms:created>
  <dcterms:modified xsi:type="dcterms:W3CDTF">2025-06-16T09:50:09Z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