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Commission – LV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LV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line="550" w:lineRule="atLeast" w:before="8"/>
        <w:ind w:left="160" w:right="4885"/>
      </w:pPr>
      <w:r>
        <w:rPr/>
        <w:t>Manuskripts pabeigts [nnnn]. gada [mēnesī].</w:t>
      </w:r>
      <w:r>
        <w:rPr>
          <w:spacing w:val="40"/>
        </w:rPr>
        <w:t> </w:t>
      </w: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>
          <w:i/>
        </w:rPr>
        <w:t>n.</w:t>
      </w:r>
      <w:r>
        <w:rPr>
          <w:i/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left="160" w:right="2946"/>
      </w:pPr>
      <w:r>
        <w:rPr/>
        <w:t>Šis dokuments neatspoguļo Eiropas Komisijas oficiālo nostāju. Luksemburga:</w:t>
      </w:r>
      <w:r>
        <w:rPr>
          <w:spacing w:val="-9"/>
        </w:rPr>
        <w:t> </w:t>
      </w:r>
      <w:r>
        <w:rPr/>
        <w:t>Eiropas</w:t>
      </w:r>
      <w:r>
        <w:rPr>
          <w:spacing w:val="-9"/>
        </w:rPr>
        <w:t> </w:t>
      </w:r>
      <w:r>
        <w:rPr/>
        <w:t>Savienības</w:t>
      </w:r>
      <w:r>
        <w:rPr>
          <w:spacing w:val="-9"/>
        </w:rPr>
        <w:t> </w:t>
      </w:r>
      <w:r>
        <w:rPr/>
        <w:t>Publikāciju</w:t>
      </w:r>
      <w:r>
        <w:rPr>
          <w:spacing w:val="-9"/>
        </w:rPr>
        <w:t> </w:t>
      </w:r>
      <w:r>
        <w:rPr/>
        <w:t>birojs,</w:t>
      </w:r>
      <w:r>
        <w:rPr>
          <w:spacing w:val="-9"/>
        </w:rPr>
        <w:t> </w:t>
      </w:r>
      <w:r>
        <w:rPr/>
        <w:t>[gadskaitlis]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Savienība,</w:t>
      </w:r>
      <w:r>
        <w:rPr>
          <w:spacing w:val="-4"/>
        </w:rPr>
        <w:t> </w:t>
      </w:r>
      <w:r>
        <w:rPr>
          <w:spacing w:val="-2"/>
        </w:rPr>
        <w:t>[gadskaitlis]</w:t>
      </w:r>
    </w:p>
    <w:p>
      <w:pPr>
        <w:pStyle w:val="BodyText"/>
        <w:spacing w:before="11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66038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9899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6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5,1095,398,1100,352,1113,308,1134,268,1165,232,1200,202,1240,180,1283,168,1329,163,1377,168,1420,180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2,1519,360,1518,359,1508,324,1490,291,1466,262,1436,237,1404,220,1369,209,1330,206,1465,206,1496,232,1526,267,1547,307,1560,351,1564,398,1564,398,1560,445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/>
      </w:pPr>
      <w:r>
        <w:rPr/>
        <w:t>Komisijas</w:t>
      </w:r>
      <w:r>
        <w:rPr>
          <w:spacing w:val="-6"/>
        </w:rPr>
        <w:t> </w:t>
      </w:r>
      <w:r>
        <w:rPr/>
        <w:t>dokumentu</w:t>
      </w:r>
      <w:r>
        <w:rPr>
          <w:spacing w:val="-6"/>
        </w:rPr>
        <w:t> </w:t>
      </w:r>
      <w:r>
        <w:rPr/>
        <w:t>atkalizmantošanas</w:t>
      </w:r>
      <w:r>
        <w:rPr>
          <w:spacing w:val="-6"/>
        </w:rPr>
        <w:t> </w:t>
      </w:r>
      <w:r>
        <w:rPr/>
        <w:t>noteikumi</w:t>
      </w:r>
      <w:r>
        <w:rPr>
          <w:spacing w:val="-6"/>
        </w:rPr>
        <w:t> </w:t>
      </w:r>
      <w:r>
        <w:rPr/>
        <w:t>ir</w:t>
      </w:r>
      <w:r>
        <w:rPr>
          <w:spacing w:val="-6"/>
        </w:rPr>
        <w:t> </w:t>
      </w:r>
      <w:r>
        <w:rPr/>
        <w:t>izklāstīti</w:t>
      </w:r>
      <w:r>
        <w:rPr>
          <w:spacing w:val="-6"/>
        </w:rPr>
        <w:t> </w:t>
      </w:r>
      <w:r>
        <w:rPr/>
        <w:t>Komisijas</w:t>
      </w:r>
      <w:r>
        <w:rPr>
          <w:spacing w:val="-6"/>
        </w:rPr>
        <w:t> </w:t>
      </w:r>
      <w:r>
        <w:rPr/>
        <w:t>2011.</w:t>
      </w:r>
      <w:r>
        <w:rPr>
          <w:spacing w:val="-6"/>
        </w:rPr>
        <w:t> </w:t>
      </w:r>
      <w:r>
        <w:rPr/>
        <w:t>gada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Lēmumā 2011/833/ES par Komisijas dokumentu atkalizmantošanu (OV L 330, 14.12.2011., 39. lpp., </w:t>
      </w:r>
      <w:r>
        <w:rPr>
          <w:i/>
        </w:rPr>
        <w:t>ELI</w:t>
      </w:r>
      <w:r>
        <w:rPr/>
        <w:t>: </w:t>
      </w:r>
      <w:hyperlink r:id="rId6">
        <w:r>
          <w:rPr>
            <w:color w:val="337AB7"/>
            <w:u w:val="single" w:color="337AB7"/>
          </w:rPr>
          <w:t>http://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/>
      </w:pPr>
      <w:r>
        <w:rPr/>
        <w:t>Ja vien nav norādīts citādi, šo dokumentu atkalizmantot atļauts ar </w:t>
      </w:r>
      <w:r>
        <w:rPr>
          <w:i/>
        </w:rPr>
        <w:t>Creative Commons Attribution 4.0</w:t>
      </w:r>
      <w:r>
        <w:rPr>
          <w:i/>
        </w:rPr>
        <w:t> International</w:t>
      </w:r>
      <w:r>
        <w:rPr>
          <w:i/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licenci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Tas</w:t>
      </w:r>
      <w:r>
        <w:rPr>
          <w:spacing w:val="-7"/>
          <w:u w:val="none"/>
        </w:rPr>
        <w:t> </w:t>
      </w:r>
      <w:r>
        <w:rPr>
          <w:u w:val="none"/>
        </w:rPr>
        <w:t>nozīmē,</w:t>
      </w:r>
      <w:r>
        <w:rPr>
          <w:spacing w:val="-7"/>
          <w:u w:val="none"/>
        </w:rPr>
        <w:t> </w:t>
      </w:r>
      <w:r>
        <w:rPr>
          <w:u w:val="none"/>
        </w:rPr>
        <w:t>ka</w:t>
      </w:r>
      <w:r>
        <w:rPr>
          <w:spacing w:val="-7"/>
          <w:u w:val="none"/>
        </w:rPr>
        <w:t> </w:t>
      </w:r>
      <w:r>
        <w:rPr>
          <w:u w:val="none"/>
        </w:rPr>
        <w:t>ir</w:t>
      </w:r>
      <w:r>
        <w:rPr>
          <w:spacing w:val="-7"/>
          <w:u w:val="none"/>
        </w:rPr>
        <w:t> </w:t>
      </w:r>
      <w:r>
        <w:rPr>
          <w:u w:val="none"/>
        </w:rPr>
        <w:t>atļauta atkalizmantošana ar pienācīgu atsaukšanos uz dokumentu un norādēm uz grozījumiem.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 tieši no attiecīgajiem tiesību turētājiem. Eiropas Savienībai nav autortiesību uz šādiem elementiem: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434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 BY 2.0 [+ saite uz licenci],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2" w:after="0"/>
        <w:ind w:left="880" w:right="658" w:hanging="380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5"/>
          <w:sz w:val="20"/>
        </w:rPr>
        <w:t> </w:t>
      </w:r>
      <w:r>
        <w:rPr>
          <w:sz w:val="20"/>
        </w:rPr>
        <w:t>tml.],</w:t>
      </w:r>
      <w:r>
        <w:rPr>
          <w:spacing w:val="-5"/>
          <w:sz w:val="20"/>
        </w:rPr>
        <w:t> </w:t>
      </w:r>
      <w:r>
        <w:rPr>
          <w:sz w:val="20"/>
        </w:rPr>
        <w:t>...</w:t>
      </w:r>
      <w:r>
        <w:rPr>
          <w:spacing w:val="-5"/>
          <w:sz w:val="20"/>
        </w:rPr>
        <w:t> </w:t>
      </w:r>
      <w:r>
        <w:rPr>
          <w:sz w:val="20"/>
        </w:rPr>
        <w:t>lpp.,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[mākslinieka</w:t>
      </w:r>
      <w:r>
        <w:rPr>
          <w:spacing w:val="-5"/>
          <w:sz w:val="20"/>
        </w:rPr>
        <w:t> </w:t>
      </w:r>
      <w:r>
        <w:rPr>
          <w:sz w:val="20"/>
        </w:rPr>
        <w:t>vārds,</w:t>
      </w:r>
      <w:r>
        <w:rPr>
          <w:spacing w:val="-5"/>
          <w:sz w:val="20"/>
        </w:rPr>
        <w:t> </w:t>
      </w:r>
      <w:r>
        <w:rPr>
          <w:sz w:val="20"/>
        </w:rPr>
        <w:t>uzvārds],</w:t>
      </w:r>
      <w:r>
        <w:rPr>
          <w:spacing w:val="-5"/>
          <w:sz w:val="20"/>
        </w:rPr>
        <w:t> </w:t>
      </w:r>
      <w:r>
        <w:rPr>
          <w:sz w:val="20"/>
        </w:rPr>
        <w:t>[gadskaitlis],</w:t>
      </w:r>
      <w:r>
        <w:rPr>
          <w:spacing w:val="-5"/>
          <w:sz w:val="20"/>
        </w:rPr>
        <w:t> </w:t>
      </w:r>
      <w:r>
        <w:rPr>
          <w:sz w:val="20"/>
        </w:rPr>
        <w:t>visas</w:t>
      </w:r>
      <w:r>
        <w:rPr>
          <w:spacing w:val="-5"/>
          <w:sz w:val="20"/>
        </w:rPr>
        <w:t> </w:t>
      </w:r>
      <w:r>
        <w:rPr>
          <w:sz w:val="20"/>
        </w:rPr>
        <w:t>tiesības </w:t>
      </w:r>
      <w:r>
        <w:rPr>
          <w:spacing w:val="-2"/>
          <w:sz w:val="20"/>
        </w:rPr>
        <w:t>aizsargātas.</w:t>
      </w:r>
    </w:p>
    <w:p>
      <w:pPr>
        <w:pStyle w:val="BodyText"/>
        <w:spacing w:before="97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 tieši no attiecīgajiem tiesību turētājiem.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282926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27766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20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225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(replace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CC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logo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©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Eiropas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Savienība,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pacing w:val="-2"/>
          <w:sz w:val="18"/>
        </w:rPr>
        <w:t>[gadskaitlis]</w:t>
      </w:r>
    </w:p>
    <w:p>
      <w:pPr>
        <w:spacing w:line="268" w:lineRule="auto" w:before="25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2"/>
          <w:sz w:val="18"/>
        </w:rPr>
        <w:t>Atļauts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izmantot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citur,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norādot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avotu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un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nemainot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dokumentu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satura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sākotnējo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nozīmi.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Eiropas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Komisija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nav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atbildīga </w:t>
      </w:r>
      <w:r>
        <w:rPr>
          <w:rFonts w:ascii="Trebuchet MS" w:hAnsi="Trebuchet MS"/>
          <w:sz w:val="18"/>
        </w:rPr>
        <w:t>par jebkādām šīs publikācijas atkalizmantošanas sekām. Eiropas Komisijas dokumentu atkalizmantošanas politiku īsteno, pamatojoties uz Komisijas Lēmumu 2011/833/ES (2011. gada 12. decembris) par Komisijas dokumentu </w:t>
      </w:r>
      <w:r>
        <w:rPr>
          <w:rFonts w:ascii="Trebuchet MS" w:hAnsi="Trebuchet MS"/>
          <w:spacing w:val="-4"/>
          <w:sz w:val="18"/>
        </w:rPr>
        <w:t>atkalizmantošanu (OV L 330, 14.12.2011., 39. lpp., </w:t>
      </w:r>
      <w:r>
        <w:rPr>
          <w:i/>
          <w:spacing w:val="-4"/>
          <w:sz w:val="18"/>
        </w:rPr>
        <w:t>ELI</w:t>
      </w:r>
      <w:r>
        <w:rPr>
          <w:rFonts w:ascii="Trebuchet MS" w:hAnsi="Trebuchet MS"/>
          <w:spacing w:val="-4"/>
          <w:sz w:val="18"/>
        </w:rPr>
        <w:t>: </w:t>
      </w:r>
      <w:hyperlink r:id="rId6">
        <w:r>
          <w:rPr>
            <w:rFonts w:ascii="Trebuchet MS" w:hAnsi="Trebuchet MS"/>
            <w:color w:val="337AB7"/>
            <w:spacing w:val="-4"/>
            <w:sz w:val="18"/>
            <w:u w:val="single" w:color="337AB7"/>
          </w:rPr>
          <w:t>http://data.europa.eu/eli/dec/2011/833/oj</w:t>
        </w:r>
      </w:hyperlink>
      <w:r>
        <w:rPr>
          <w:rFonts w:ascii="Trebuchet MS" w:hAnsi="Trebuchet MS"/>
          <w:spacing w:val="-4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1160"/>
        </w:sectPr>
      </w:pPr>
    </w:p>
    <w:p>
      <w:pPr>
        <w:pStyle w:val="Heading1"/>
        <w:spacing w:before="76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147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4"/>
      </w:pPr>
      <w:r>
        <w:rPr>
          <w:spacing w:val="-2"/>
        </w:rPr>
        <w:t>Tiešsaistē</w:t>
      </w:r>
    </w:p>
    <w:p>
      <w:pPr>
        <w:spacing w:before="167"/>
        <w:ind w:left="443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43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3">
        <w:r>
          <w:rPr>
            <w:color w:val="337AB7"/>
            <w:sz w:val="22"/>
            <w:u w:val="single" w:color="337AB7"/>
          </w:rPr>
          <w:t>op.europa.eu/lv/publications</w:t>
        </w:r>
      </w:hyperlink>
      <w:r>
        <w:rPr>
          <w:sz w:val="22"/>
          <w:u w:val="none"/>
        </w:rPr>
        <w:t>. Vairākus bezmaksas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publikāciju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5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4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tuvāko dokumentācijas centru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7"/>
        <w:ind w:left="443" w:right="1029" w:firstLine="0"/>
        <w:jc w:val="left"/>
        <w:rPr>
          <w:sz w:val="22"/>
        </w:rPr>
      </w:pPr>
      <w:r>
        <w:rPr>
          <w:sz w:val="22"/>
        </w:rPr>
        <w:t>Portālā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ir piekļuve atvērtām datu kopām no ES iestādēm, struktūrām un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aģentūrām.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maksas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lejupielādēt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izmantot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tiklab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komerciāliem,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kā</w:t>
      </w:r>
    </w:p>
    <w:p>
      <w:pPr>
        <w:spacing w:line="290" w:lineRule="auto" w:before="0"/>
        <w:ind w:left="443" w:right="0" w:firstLine="0"/>
        <w:jc w:val="left"/>
        <w:rPr>
          <w:sz w:val="22"/>
        </w:rPr>
      </w:pPr>
      <w:r>
        <w:rPr>
          <w:sz w:val="22"/>
        </w:rPr>
        <w:t>nekomerciāliem</w:t>
      </w:r>
      <w:r>
        <w:rPr>
          <w:spacing w:val="-4"/>
          <w:sz w:val="22"/>
        </w:rPr>
        <w:t> </w:t>
      </w:r>
      <w:r>
        <w:rPr>
          <w:sz w:val="22"/>
        </w:rPr>
        <w:t>mērķiem.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4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 </w:t>
      </w:r>
      <w:r>
        <w:rPr>
          <w:spacing w:val="-2"/>
          <w:sz w:val="22"/>
        </w:rPr>
        <w:t>valstīm.</w:t>
      </w:r>
    </w:p>
    <w:sectPr>
      <w:pgSz w:w="11910" w:h="16840"/>
      <w:pgMar w:top="880" w:bottom="280" w:left="86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2032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905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78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51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52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397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270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143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02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345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288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231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174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117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060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003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0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681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82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83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38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285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186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087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v" TargetMode="External"/><Relationship Id="rId11" Type="http://schemas.openxmlformats.org/officeDocument/2006/relationships/hyperlink" Target="https://european-union.europa.eu/contact-eu/write-us_lv" TargetMode="External"/><Relationship Id="rId12" Type="http://schemas.openxmlformats.org/officeDocument/2006/relationships/hyperlink" Target="https://european-union.europa.eu/index_lv" TargetMode="External"/><Relationship Id="rId13" Type="http://schemas.openxmlformats.org/officeDocument/2006/relationships/hyperlink" Target="https://op.europa.eu/l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LV</dc:title>
  <dcterms:created xsi:type="dcterms:W3CDTF">2025-01-14T14:38:49Z</dcterms:created>
  <dcterms:modified xsi:type="dcterms:W3CDTF">2025-01-14T14:38:49Z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