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FI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FI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line="550" w:lineRule="atLeast" w:before="8"/>
        <w:ind w:right="5934"/>
        <w:jc w:val="both"/>
      </w:pPr>
      <w:r>
        <w:rPr/>
        <w:t>Käsikirjoitus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valmistunut</w:t>
      </w:r>
      <w:r>
        <w:rPr>
          <w:spacing w:val="-2"/>
        </w:rPr>
        <w:t> </w:t>
      </w:r>
      <w:r>
        <w:rPr/>
        <w:t>[kuukausi]</w:t>
      </w:r>
      <w:r>
        <w:rPr>
          <w:spacing w:val="-2"/>
        </w:rPr>
        <w:t> </w:t>
      </w:r>
      <w:r>
        <w:rPr/>
        <w:t>[vuosi] Tarkistettu</w:t>
      </w:r>
      <w:r>
        <w:rPr>
          <w:spacing w:val="-9"/>
        </w:rPr>
        <w:t> </w:t>
      </w:r>
      <w:r>
        <w:rPr/>
        <w:t>painos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Korjattu</w:t>
      </w:r>
      <w:r>
        <w:rPr>
          <w:spacing w:val="-9"/>
        </w:rPr>
        <w:t> </w:t>
      </w:r>
      <w:r>
        <w:rPr/>
        <w:t>painos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n.</w:t>
      </w:r>
      <w:r>
        <w:rPr>
          <w:spacing w:val="-9"/>
        </w:rPr>
        <w:t> </w:t>
      </w:r>
      <w:r>
        <w:rPr/>
        <w:t>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right="1611"/>
        <w:jc w:val="both"/>
      </w:pPr>
      <w:r>
        <w:rPr/>
        <w:t>Tässä</w:t>
      </w:r>
      <w:r>
        <w:rPr>
          <w:spacing w:val="-5"/>
        </w:rPr>
        <w:t> </w:t>
      </w:r>
      <w:r>
        <w:rPr/>
        <w:t>asiakirjassa</w:t>
      </w:r>
      <w:r>
        <w:rPr>
          <w:spacing w:val="-5"/>
        </w:rPr>
        <w:t> </w:t>
      </w:r>
      <w:r>
        <w:rPr/>
        <w:t>esitettyjä</w:t>
      </w:r>
      <w:r>
        <w:rPr>
          <w:spacing w:val="-5"/>
        </w:rPr>
        <w:t> </w:t>
      </w:r>
      <w:r>
        <w:rPr/>
        <w:t>mielipiteitä</w:t>
      </w:r>
      <w:r>
        <w:rPr>
          <w:spacing w:val="-5"/>
        </w:rPr>
        <w:t> </w:t>
      </w:r>
      <w:r>
        <w:rPr/>
        <w:t>ei</w:t>
      </w:r>
      <w:r>
        <w:rPr>
          <w:spacing w:val="-5"/>
        </w:rPr>
        <w:t> </w:t>
      </w:r>
      <w:r>
        <w:rPr/>
        <w:t>voida</w:t>
      </w:r>
      <w:r>
        <w:rPr>
          <w:spacing w:val="-5"/>
        </w:rPr>
        <w:t> </w:t>
      </w:r>
      <w:r>
        <w:rPr/>
        <w:t>pitää</w:t>
      </w:r>
      <w:r>
        <w:rPr>
          <w:spacing w:val="-5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komission</w:t>
      </w:r>
      <w:r>
        <w:rPr>
          <w:spacing w:val="-5"/>
        </w:rPr>
        <w:t> </w:t>
      </w:r>
      <w:r>
        <w:rPr/>
        <w:t>virallisena</w:t>
      </w:r>
      <w:r>
        <w:rPr>
          <w:spacing w:val="-5"/>
        </w:rPr>
        <w:t> </w:t>
      </w:r>
      <w:r>
        <w:rPr/>
        <w:t>kantana. Luxemburg: Euroopan unionin julkaisutoimisto, [vuosi]</w:t>
      </w:r>
    </w:p>
    <w:p>
      <w:pPr>
        <w:pStyle w:val="BodyText"/>
        <w:spacing w:line="228" w:lineRule="exact"/>
        <w:jc w:val="both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unioni,</w:t>
      </w:r>
      <w:r>
        <w:rPr>
          <w:spacing w:val="-5"/>
        </w:rPr>
        <w:t> </w:t>
      </w:r>
      <w:r>
        <w:rPr>
          <w:spacing w:val="-2"/>
        </w:rPr>
        <w:t>[vuosi]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66038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9899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5,1095,398,1100,352,1113,308,1134,268,1165,232,1200,202,1240,180,1283,168,1329,163,1377,168,1420,180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2,1519,360,1518,359,1508,324,1490,291,1466,262,1436,237,1404,220,1369,209,1330,206,1465,206,1496,232,1526,267,1547,307,1560,351,1564,398,1564,398,1560,445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</w:pPr>
      <w:r>
        <w:rPr/>
        <w:t>Komission soveltamasta asiakirjojen uudelleenkäyttöpolitiikasta säädetään 12. joulukuuta 2011 annetussa päätöksessä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komission</w:t>
      </w:r>
      <w:r>
        <w:rPr>
          <w:spacing w:val="-7"/>
        </w:rPr>
        <w:t> </w:t>
      </w:r>
      <w:r>
        <w:rPr/>
        <w:t>asiakirjojen</w:t>
      </w:r>
      <w:r>
        <w:rPr>
          <w:spacing w:val="-7"/>
        </w:rPr>
        <w:t> </w:t>
      </w:r>
      <w:r>
        <w:rPr/>
        <w:t>uudelleenkäytöstä</w:t>
      </w:r>
      <w:r>
        <w:rPr>
          <w:spacing w:val="-7"/>
        </w:rPr>
        <w:t> </w:t>
      </w:r>
      <w:r>
        <w:rPr/>
        <w:t>(EUVL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s.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18"/>
      </w:pPr>
      <w:r>
        <w:rPr/>
        <w:t>Jollei toisin mainita, tämän asiakirjan uudelleenkäyttö on sallittua Creative Commons Attribution 4.0 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-lisenssin</w:t>
      </w:r>
      <w:r>
        <w:rPr>
          <w:spacing w:val="-6"/>
        </w:rPr>
        <w:t> </w:t>
      </w:r>
      <w:r>
        <w:rPr/>
        <w:t>mukaisesti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Tämä</w:t>
      </w:r>
      <w:r>
        <w:rPr>
          <w:spacing w:val="-6"/>
          <w:u w:val="none"/>
        </w:rPr>
        <w:t> </w:t>
      </w:r>
      <w:r>
        <w:rPr>
          <w:u w:val="none"/>
        </w:rPr>
        <w:t>tarkoittaa sitä, että uudelleenkäyttö on sallittua, kunhan lähde mainitaan asianmukaisesti ja mahdollisesti tehdyt muutokset ilmoitetaan.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18"/>
      </w:pPr>
      <w:r>
        <w:rPr/>
        <w:t>Sellaisten aineiston osien käyttö tai jäljentäminen, jotka eivät ole Euroopan unionin omaisuutta, saattaa edellyttää</w:t>
      </w:r>
      <w:r>
        <w:rPr>
          <w:spacing w:val="-5"/>
        </w:rPr>
        <w:t> </w:t>
      </w:r>
      <w:r>
        <w:rPr/>
        <w:t>lupaa</w:t>
      </w:r>
      <w:r>
        <w:rPr>
          <w:spacing w:val="-5"/>
        </w:rPr>
        <w:t> </w:t>
      </w:r>
      <w:r>
        <w:rPr/>
        <w:t>suoraan</w:t>
      </w:r>
      <w:r>
        <w:rPr>
          <w:spacing w:val="-5"/>
        </w:rPr>
        <w:t> </w:t>
      </w:r>
      <w:r>
        <w:rPr/>
        <w:t>asianomaisilta</w:t>
      </w:r>
      <w:r>
        <w:rPr>
          <w:spacing w:val="-5"/>
        </w:rPr>
        <w:t> </w:t>
      </w:r>
      <w:r>
        <w:rPr/>
        <w:t>oikeudenhaltijoilta.</w:t>
      </w:r>
      <w:r>
        <w:rPr>
          <w:spacing w:val="-3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unionilla</w:t>
      </w:r>
      <w:r>
        <w:rPr>
          <w:spacing w:val="-5"/>
        </w:rPr>
        <w:t> </w:t>
      </w:r>
      <w:r>
        <w:rPr/>
        <w:t>ei</w:t>
      </w:r>
      <w:r>
        <w:rPr>
          <w:spacing w:val="-5"/>
        </w:rPr>
        <w:t> </w:t>
      </w:r>
      <w:r>
        <w:rPr/>
        <w:t>ole</w:t>
      </w:r>
      <w:r>
        <w:rPr>
          <w:spacing w:val="-5"/>
        </w:rPr>
        <w:t> </w:t>
      </w:r>
      <w:r>
        <w:rPr/>
        <w:t>tekijänoikeutta</w:t>
      </w:r>
      <w:r>
        <w:rPr>
          <w:spacing w:val="-5"/>
        </w:rPr>
        <w:t> </w:t>
      </w:r>
      <w:r>
        <w:rPr/>
        <w:t>seuraaviin aineiston osiin: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5" w:after="0"/>
        <w:ind w:left="880" w:right="0" w:hanging="380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3"/>
        <w:ind w:left="880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18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unionin</w:t>
      </w:r>
      <w:r>
        <w:rPr>
          <w:spacing w:val="-4"/>
        </w:rPr>
        <w:t> </w:t>
      </w:r>
      <w:r>
        <w:rPr/>
        <w:t>omaisuutta,</w:t>
      </w:r>
      <w:r>
        <w:rPr>
          <w:spacing w:val="-4"/>
        </w:rPr>
        <w:t> </w:t>
      </w:r>
      <w:r>
        <w:rPr/>
        <w:t>saattaa edellyttää lupaa suoraan asianomaisilta oikeudenhaltijoilta.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88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none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65" w:hanging="300"/>
        <w:jc w:val="left"/>
        <w:rPr>
          <w:rFonts w:ascii="Gill Sans MT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360">
                <wp:simplePos x="0" y="0"/>
                <wp:positionH relativeFrom="page">
                  <wp:posOffset>2179345</wp:posOffset>
                </wp:positionH>
                <wp:positionV relativeFrom="paragraph">
                  <wp:posOffset>-27029</wp:posOffset>
                </wp:positionV>
                <wp:extent cx="1148080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14808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8080" h="3810">
                              <a:moveTo>
                                <a:pt x="1147457" y="3568"/>
                              </a:moveTo>
                              <a:lnTo>
                                <a:pt x="0" y="3568"/>
                              </a:lnTo>
                              <a:lnTo>
                                <a:pt x="0" y="0"/>
                              </a:lnTo>
                              <a:lnTo>
                                <a:pt x="1147457" y="0"/>
                              </a:lnTo>
                              <a:lnTo>
                                <a:pt x="1147457" y="3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7A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71.602005pt;margin-top:-2.12832pt;width:90.350998pt;height:.281pt;mso-position-horizontal-relative:page;mso-position-vertical-relative:paragraph;z-index:-15813120" id="docshape8" filled="true" fillcolor="#337ab7" stroked="false">
                <v:fill type="solid"/>
                <w10:wrap type="none"/>
              </v:rect>
            </w:pict>
          </mc:Fallback>
        </mc:AlternateContent>
      </w: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Euroopan</w:t>
      </w:r>
      <w:r>
        <w:rPr>
          <w:rFonts w:ascii="Gill Sans MT" w:hAnsi="Gill Sans MT"/>
          <w:spacing w:val="-3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unioni,</w:t>
      </w:r>
      <w:r>
        <w:rPr>
          <w:rFonts w:ascii="Gill Sans MT" w:hAnsi="Gill Sans MT"/>
          <w:spacing w:val="-2"/>
          <w:w w:val="105"/>
          <w:sz w:val="18"/>
        </w:rPr>
        <w:t> [vuosi]</w:t>
      </w:r>
    </w:p>
    <w:p>
      <w:pPr>
        <w:spacing w:line="268" w:lineRule="auto" w:before="26"/>
        <w:ind w:left="460" w:right="149" w:firstLine="0"/>
        <w:jc w:val="left"/>
        <w:rPr>
          <w:rFonts w:ascii="Gill Sans MT" w:hAnsi="Gill Sans MT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3872">
                <wp:simplePos x="0" y="0"/>
                <wp:positionH relativeFrom="page">
                  <wp:posOffset>3354920</wp:posOffset>
                </wp:positionH>
                <wp:positionV relativeFrom="paragraph">
                  <wp:posOffset>580957</wp:posOffset>
                </wp:positionV>
                <wp:extent cx="2150110" cy="381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215011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0110" h="3810">
                              <a:moveTo>
                                <a:pt x="2149640" y="3568"/>
                              </a:moveTo>
                              <a:lnTo>
                                <a:pt x="0" y="3568"/>
                              </a:lnTo>
                              <a:lnTo>
                                <a:pt x="0" y="0"/>
                              </a:lnTo>
                              <a:lnTo>
                                <a:pt x="2149640" y="0"/>
                              </a:lnTo>
                              <a:lnTo>
                                <a:pt x="2149640" y="3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7A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4.166992pt;margin-top:45.744678pt;width:169.263pt;height:.281pt;mso-position-horizontal-relative:page;mso-position-vertical-relative:paragraph;z-index:-15812608" id="docshape9" filled="true" fillcolor="#337ab7" stroked="false">
                <v:fill type="solid"/>
                <w10:wrap type="none"/>
              </v:rect>
            </w:pict>
          </mc:Fallback>
        </mc:AlternateContent>
      </w:r>
      <w:r>
        <w:rPr>
          <w:rFonts w:ascii="Gill Sans MT" w:hAnsi="Gill Sans MT"/>
          <w:w w:val="110"/>
          <w:sz w:val="18"/>
        </w:rPr>
        <w:t>Uudelleenkäyttö on sallittua, kunhan lähde mainitaan eikä asiakirjojen alkuperäistä merkitystä tai sanomaa ole </w:t>
      </w:r>
      <w:r>
        <w:rPr>
          <w:rFonts w:ascii="Gill Sans MT" w:hAnsi="Gill Sans MT"/>
          <w:spacing w:val="-2"/>
          <w:w w:val="115"/>
          <w:sz w:val="18"/>
        </w:rPr>
        <w:t>vääristetty.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Euroopan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komissio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ei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ole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vastuussa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uudelleenkäytön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mahdollisista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seurauksista.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Euroopan</w:t>
      </w:r>
      <w:r>
        <w:rPr>
          <w:rFonts w:ascii="Gill Sans MT" w:hAnsi="Gill Sans MT"/>
          <w:spacing w:val="-7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komission </w:t>
      </w:r>
      <w:r>
        <w:rPr>
          <w:rFonts w:ascii="Gill Sans MT" w:hAnsi="Gill Sans MT"/>
          <w:w w:val="110"/>
          <w:sz w:val="18"/>
        </w:rPr>
        <w:t>asiakirjojen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uudelleenkäyttöä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koskevat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periaatteet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perustuvat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joulukuuta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annettuun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komission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päätökseen </w:t>
      </w:r>
      <w:r>
        <w:rPr>
          <w:rFonts w:ascii="Gill Sans MT" w:hAnsi="Gill Sans MT"/>
          <w:spacing w:val="-2"/>
          <w:w w:val="115"/>
          <w:sz w:val="18"/>
        </w:rPr>
        <w:t>2011/833/EU (EUVL L 330, 14.12.2011, s. 39, ELI: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</w:rPr>
          <w:t>http://data.europa.eu/eli/dec/2011/833/oj</w:t>
        </w:r>
      </w:hyperlink>
      <w:r>
        <w:rPr>
          <w:rFonts w:ascii="Gill Sans MT" w:hAnsi="Gill Sans MT"/>
          <w:spacing w:val="-2"/>
          <w:w w:val="115"/>
          <w:sz w:val="18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line="290" w:lineRule="auto" w:before="166"/>
        <w:ind w:left="443" w:right="14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-palvelu</w:t>
      </w:r>
      <w:r>
        <w:rPr>
          <w:spacing w:val="-5"/>
          <w:sz w:val="22"/>
        </w:rPr>
        <w:t> </w:t>
      </w:r>
      <w:r>
        <w:rPr>
          <w:sz w:val="22"/>
        </w:rPr>
        <w:t>vastaa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unionia</w:t>
      </w:r>
      <w:r>
        <w:rPr>
          <w:spacing w:val="-5"/>
          <w:sz w:val="22"/>
        </w:rPr>
        <w:t> </w:t>
      </w:r>
      <w:r>
        <w:rPr>
          <w:sz w:val="22"/>
        </w:rPr>
        <w:t>koskeviin</w:t>
      </w:r>
      <w:r>
        <w:rPr>
          <w:spacing w:val="-5"/>
          <w:sz w:val="22"/>
        </w:rPr>
        <w:t> </w:t>
      </w:r>
      <w:r>
        <w:rPr>
          <w:sz w:val="22"/>
        </w:rPr>
        <w:t>kysymyksiin.</w:t>
      </w:r>
      <w:r>
        <w:rPr>
          <w:spacing w:val="-5"/>
          <w:sz w:val="22"/>
        </w:rPr>
        <w:t> </w:t>
      </w:r>
      <w:r>
        <w:rPr>
          <w:sz w:val="22"/>
        </w:rPr>
        <w:t>Palveluun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ottaa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78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 voivat periä puhelumaksun),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4"/>
      </w:pPr>
      <w:r>
        <w:rPr>
          <w:spacing w:val="-2"/>
        </w:rPr>
        <w:t>Verkkosivut</w:t>
      </w:r>
    </w:p>
    <w:p>
      <w:pPr>
        <w:spacing w:line="290" w:lineRule="auto" w:before="167"/>
        <w:ind w:left="443" w:right="1222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6"/>
          <w:sz w:val="22"/>
        </w:rPr>
        <w:t> </w:t>
      </w:r>
      <w:r>
        <w:rPr>
          <w:sz w:val="22"/>
        </w:rPr>
        <w:t>Euroopan</w:t>
      </w:r>
      <w:r>
        <w:rPr>
          <w:spacing w:val="-6"/>
          <w:sz w:val="22"/>
        </w:rPr>
        <w:t> </w:t>
      </w:r>
      <w:r>
        <w:rPr>
          <w:sz w:val="22"/>
        </w:rPr>
        <w:t>unionista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saatavilla</w:t>
      </w:r>
      <w:r>
        <w:rPr>
          <w:spacing w:val="-6"/>
          <w:sz w:val="22"/>
        </w:rPr>
        <w:t> </w:t>
      </w:r>
      <w:r>
        <w:rPr>
          <w:sz w:val="22"/>
        </w:rPr>
        <w:t>kaikilla</w:t>
      </w:r>
      <w:r>
        <w:rPr>
          <w:spacing w:val="-6"/>
          <w:sz w:val="22"/>
        </w:rPr>
        <w:t> </w:t>
      </w:r>
      <w:r>
        <w:rPr>
          <w:sz w:val="22"/>
        </w:rPr>
        <w:t>EU:n</w:t>
      </w:r>
      <w:r>
        <w:rPr>
          <w:spacing w:val="-6"/>
          <w:sz w:val="22"/>
        </w:rPr>
        <w:t> </w:t>
      </w:r>
      <w:r>
        <w:rPr>
          <w:sz w:val="22"/>
        </w:rPr>
        <w:t>virallisilla</w:t>
      </w:r>
      <w:r>
        <w:rPr>
          <w:spacing w:val="-6"/>
          <w:sz w:val="22"/>
        </w:rPr>
        <w:t> </w:t>
      </w:r>
      <w:r>
        <w:rPr>
          <w:sz w:val="22"/>
        </w:rPr>
        <w:t>kielillä</w:t>
      </w:r>
      <w:r>
        <w:rPr>
          <w:spacing w:val="-6"/>
          <w:sz w:val="22"/>
        </w:rPr>
        <w:t> </w:t>
      </w:r>
      <w:r>
        <w:rPr>
          <w:sz w:val="22"/>
        </w:rPr>
        <w:t>Europa-sivustolla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443" w:right="418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3">
        <w:r>
          <w:rPr>
            <w:color w:val="337AB7"/>
            <w:sz w:val="22"/>
            <w:u w:val="single" w:color="337AB7"/>
          </w:rPr>
          <w:t>op.europa.eu/fi/web/general-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7"/>
        <w:ind w:left="443" w:right="149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443" w:right="418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) tarjoaa pääsyn EU:n toimielinten, elinten ja virastojen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avoimiin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data-aineistoihin.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ladattavissa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uudelleenkäytettävissä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maksutta sekä kaupallista että ei-kaupallista käyttöä varten. Portaalissa on myös runsaasti Euroopan maiden data-aineistoja.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fi-F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fi-F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fi" TargetMode="External"/><Relationship Id="rId11" Type="http://schemas.openxmlformats.org/officeDocument/2006/relationships/hyperlink" Target="https://european-union.europa.eu/contact-eu/write-us_fi" TargetMode="External"/><Relationship Id="rId12" Type="http://schemas.openxmlformats.org/officeDocument/2006/relationships/hyperlink" Target="https://european-union.europa.eu/index_fi" TargetMode="External"/><Relationship Id="rId13" Type="http://schemas.openxmlformats.org/officeDocument/2006/relationships/hyperlink" Target="https://op.europa.eu/fi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fi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FI</dc:title>
  <dcterms:created xsi:type="dcterms:W3CDTF">2025-01-14T14:04:30Z</dcterms:created>
  <dcterms:modified xsi:type="dcterms:W3CDTF">2025-01-14T14:04:30Z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