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  <w:ind w:left="160"/>
      </w:pPr>
      <w:bookmarkStart w:name="European Union institutions, bodies and 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4"/>
        </w:rPr>
        <w:t> </w:t>
      </w:r>
      <w:r>
        <w:rPr>
          <w:color w:val="FF0000"/>
        </w:rPr>
        <w:t>institutions,</w:t>
      </w:r>
      <w:r>
        <w:rPr>
          <w:color w:val="FF0000"/>
          <w:spacing w:val="-5"/>
        </w:rPr>
        <w:t> </w:t>
      </w:r>
      <w:r>
        <w:rPr>
          <w:color w:val="FF0000"/>
        </w:rPr>
        <w:t>bodies</w:t>
      </w:r>
      <w:r>
        <w:rPr>
          <w:color w:val="FF0000"/>
          <w:spacing w:val="-4"/>
        </w:rPr>
        <w:t> </w:t>
      </w:r>
      <w:r>
        <w:rPr>
          <w:color w:val="FF0000"/>
        </w:rPr>
        <w:t>and</w:t>
      </w:r>
      <w:r>
        <w:rPr>
          <w:color w:val="FF0000"/>
          <w:spacing w:val="-5"/>
        </w:rPr>
        <w:t> </w:t>
      </w:r>
      <w:r>
        <w:rPr>
          <w:color w:val="FF0000"/>
        </w:rPr>
        <w:t>services</w:t>
      </w:r>
      <w:r>
        <w:rPr>
          <w:color w:val="FF0000"/>
          <w:spacing w:val="-3"/>
        </w:rPr>
        <w:t> </w:t>
      </w:r>
      <w:r>
        <w:rPr>
          <w:color w:val="FF0000"/>
          <w:u w:val="single" w:color="FF0000"/>
        </w:rPr>
        <w:t>without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legal</w:t>
      </w:r>
      <w:r>
        <w:rPr>
          <w:color w:val="FF0000"/>
          <w:spacing w:val="-5"/>
          <w:u w:val="none"/>
        </w:rPr>
        <w:t> </w:t>
      </w:r>
      <w:r>
        <w:rPr>
          <w:color w:val="FF0000"/>
          <w:u w:val="none"/>
        </w:rPr>
        <w:t>personality</w:t>
      </w:r>
      <w:r>
        <w:rPr>
          <w:color w:val="FF0000"/>
          <w:spacing w:val="-4"/>
          <w:u w:val="none"/>
        </w:rPr>
        <w:t> </w:t>
      </w:r>
      <w:r>
        <w:rPr>
          <w:color w:val="FF0000"/>
          <w:u w:val="none"/>
        </w:rPr>
        <w:t>–</w:t>
      </w:r>
      <w:r>
        <w:rPr>
          <w:color w:val="FF0000"/>
          <w:spacing w:val="-4"/>
          <w:u w:val="none"/>
        </w:rPr>
        <w:t> </w:t>
      </w:r>
      <w:r>
        <w:rPr>
          <w:color w:val="FF0000"/>
          <w:spacing w:val="-5"/>
          <w:u w:val="none"/>
        </w:rPr>
        <w:t>EN</w:t>
      </w:r>
    </w:p>
    <w:p>
      <w:pPr>
        <w:pStyle w:val="BodyText"/>
        <w:spacing w:before="97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[printer]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[country]</w:t>
      </w:r>
    </w:p>
    <w:p>
      <w:pPr>
        <w:pStyle w:val="BodyText"/>
        <w:spacing w:before="97"/>
        <w:rPr>
          <w:i/>
        </w:rPr>
      </w:pPr>
    </w:p>
    <w:p>
      <w:pPr>
        <w:pStyle w:val="BodyText"/>
        <w:spacing w:before="1"/>
        <w:ind w:left="160"/>
      </w:pPr>
      <w:r>
        <w:rPr/>
        <w:t>Manuscript</w:t>
      </w:r>
      <w:r>
        <w:rPr>
          <w:spacing w:val="-6"/>
        </w:rPr>
        <w:t> </w:t>
      </w:r>
      <w:r>
        <w:rPr/>
        <w:t>completed</w:t>
      </w:r>
      <w:r>
        <w:rPr>
          <w:spacing w:val="-5"/>
        </w:rPr>
        <w:t> </w:t>
      </w:r>
      <w:r>
        <w:rPr/>
        <w:t>in</w:t>
      </w:r>
      <w:r>
        <w:rPr>
          <w:spacing w:val="-5"/>
        </w:rPr>
        <w:t> </w:t>
      </w:r>
      <w:r>
        <w:rPr/>
        <w:t>[Month]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line="560" w:lineRule="atLeast"/>
        <w:ind w:left="160" w:right="4106"/>
      </w:pPr>
      <w:r>
        <w:rPr/>
        <w:t>Revised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Corrected</w:t>
      </w:r>
      <w:r>
        <w:rPr>
          <w:spacing w:val="-6"/>
        </w:rPr>
        <w:t> </w:t>
      </w:r>
      <w:r>
        <w:rPr/>
        <w:t>edition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[First/Second/</w:t>
      </w:r>
      <w:r>
        <w:rPr>
          <w:i/>
        </w:rPr>
        <w:t>n</w:t>
      </w:r>
      <w:r>
        <w:rPr/>
        <w:t>th]</w:t>
      </w:r>
      <w:r>
        <w:rPr>
          <w:spacing w:val="-6"/>
        </w:rPr>
        <w:t> </w:t>
      </w:r>
      <w:r>
        <w:rPr/>
        <w:t>edition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1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00"/>
        <w:ind w:left="160"/>
      </w:pPr>
      <w:r>
        <w:rPr/>
        <w:t>This</w:t>
      </w:r>
      <w:r>
        <w:rPr>
          <w:spacing w:val="-5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should</w:t>
      </w:r>
      <w:r>
        <w:rPr>
          <w:spacing w:val="-5"/>
        </w:rPr>
        <w:t> </w:t>
      </w:r>
      <w:r>
        <w:rPr/>
        <w:t>not</w:t>
      </w:r>
      <w:r>
        <w:rPr>
          <w:spacing w:val="-5"/>
        </w:rPr>
        <w:t> </w:t>
      </w:r>
      <w:r>
        <w:rPr/>
        <w:t>be</w:t>
      </w:r>
      <w:r>
        <w:rPr>
          <w:spacing w:val="-5"/>
        </w:rPr>
        <w:t> </w:t>
      </w:r>
      <w:r>
        <w:rPr/>
        <w:t>considered</w:t>
      </w:r>
      <w:r>
        <w:rPr>
          <w:spacing w:val="-5"/>
        </w:rPr>
        <w:t> </w:t>
      </w:r>
      <w:r>
        <w:rPr/>
        <w:t>as</w:t>
      </w:r>
      <w:r>
        <w:rPr>
          <w:spacing w:val="-5"/>
        </w:rPr>
        <w:t> </w:t>
      </w:r>
      <w:r>
        <w:rPr/>
        <w:t>representative</w:t>
      </w:r>
      <w:r>
        <w:rPr>
          <w:spacing w:val="-5"/>
        </w:rPr>
        <w:t> </w:t>
      </w:r>
      <w:r>
        <w:rPr/>
        <w:t>of</w:t>
      </w:r>
      <w:r>
        <w:rPr>
          <w:spacing w:val="-5"/>
        </w:rPr>
        <w:t> </w:t>
      </w:r>
      <w:r>
        <w:rPr/>
        <w:t>the</w:t>
      </w:r>
      <w:r>
        <w:rPr>
          <w:spacing w:val="-5"/>
        </w:rPr>
        <w:t> </w:t>
      </w:r>
      <w:r>
        <w:rPr/>
        <w:t>[institution’s/body’s/service’s]</w:t>
      </w:r>
      <w:r>
        <w:rPr>
          <w:spacing w:val="-5"/>
        </w:rPr>
        <w:t> </w:t>
      </w:r>
      <w:r>
        <w:rPr/>
        <w:t>official</w:t>
      </w:r>
      <w:r>
        <w:rPr>
          <w:spacing w:val="-5"/>
        </w:rPr>
        <w:t> </w:t>
      </w:r>
      <w:r>
        <w:rPr/>
        <w:t>position. Luxembourg: Publications Office of the European Union, [year]</w:t>
      </w:r>
    </w:p>
    <w:p>
      <w:pPr>
        <w:pStyle w:val="BodyText"/>
        <w:spacing w:line="228" w:lineRule="exact"/>
        <w:ind w:left="160"/>
      </w:pPr>
      <w:r>
        <w:rPr/>
        <w:t>©</w:t>
      </w:r>
      <w:r>
        <w:rPr>
          <w:spacing w:val="-5"/>
        </w:rPr>
        <w:t> </w:t>
      </w:r>
      <w:r>
        <w:rPr/>
        <w:t>European</w:t>
      </w:r>
      <w:r>
        <w:rPr>
          <w:spacing w:val="-5"/>
        </w:rPr>
        <w:t> </w:t>
      </w:r>
      <w:r>
        <w:rPr/>
        <w:t>Union,</w:t>
      </w:r>
      <w:r>
        <w:rPr>
          <w:spacing w:val="-5"/>
        </w:rPr>
        <w:t> </w:t>
      </w:r>
      <w:r>
        <w:rPr>
          <w:spacing w:val="-2"/>
        </w:rPr>
        <w:t>[year]</w:t>
      </w:r>
    </w:p>
    <w:p>
      <w:pPr>
        <w:pStyle w:val="BodyText"/>
        <w:spacing w:before="104"/>
        <w:ind w:left="160"/>
      </w:pPr>
      <w:r>
        <w:rPr/>
        <w:t>Reproduction</w:t>
      </w:r>
      <w:r>
        <w:rPr>
          <w:spacing w:val="-6"/>
        </w:rPr>
        <w:t> </w:t>
      </w:r>
      <w:r>
        <w:rPr/>
        <w:t>is</w:t>
      </w:r>
      <w:r>
        <w:rPr>
          <w:spacing w:val="-6"/>
        </w:rPr>
        <w:t> </w:t>
      </w:r>
      <w:r>
        <w:rPr/>
        <w:t>authorised</w:t>
      </w:r>
      <w:r>
        <w:rPr>
          <w:spacing w:val="-6"/>
        </w:rPr>
        <w:t> </w:t>
      </w:r>
      <w:r>
        <w:rPr/>
        <w:t>provided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source</w:t>
      </w:r>
      <w:r>
        <w:rPr>
          <w:spacing w:val="-6"/>
        </w:rPr>
        <w:t> </w:t>
      </w:r>
      <w:r>
        <w:rPr/>
        <w:t>is</w:t>
      </w:r>
      <w:r>
        <w:rPr>
          <w:spacing w:val="-5"/>
        </w:rPr>
        <w:t> </w:t>
      </w:r>
      <w:r>
        <w:rPr>
          <w:spacing w:val="-2"/>
        </w:rPr>
        <w:t>acknowledged.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60" w:right="17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 The European Union does not own the copyright in relation to the following elements: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cover,</w:t>
      </w:r>
      <w:r>
        <w:rPr>
          <w:spacing w:val="-9"/>
          <w:sz w:val="20"/>
        </w:rPr>
        <w:t> </w:t>
      </w:r>
      <w:r>
        <w:rPr>
          <w:sz w:val="20"/>
        </w:rPr>
        <w:t>[element</w:t>
      </w:r>
      <w:r>
        <w:rPr>
          <w:spacing w:val="-8"/>
          <w:sz w:val="20"/>
        </w:rPr>
        <w:t> </w:t>
      </w:r>
      <w:r>
        <w:rPr>
          <w:sz w:val="20"/>
        </w:rPr>
        <w:t>concerned],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7"/>
          <w:sz w:val="20"/>
        </w:rPr>
        <w:t> </w:t>
      </w:r>
      <w:r>
        <w:rPr>
          <w:sz w:val="20"/>
        </w:rPr>
        <w:t>e.g.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[element</w:t>
      </w:r>
      <w:r>
        <w:rPr>
          <w:spacing w:val="-6"/>
          <w:sz w:val="20"/>
        </w:rPr>
        <w:t> </w:t>
      </w:r>
      <w:r>
        <w:rPr>
          <w:sz w:val="20"/>
        </w:rPr>
        <w:t>concerned],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6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[author],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reserved,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4" w:after="0"/>
        <w:ind w:left="880" w:right="111" w:hanging="380"/>
        <w:jc w:val="left"/>
        <w:rPr>
          <w:sz w:val="20"/>
        </w:rPr>
      </w:pPr>
      <w:r>
        <w:rPr>
          <w:sz w:val="20"/>
        </w:rPr>
        <w:t>page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</w:t>
      </w:r>
      <w:r>
        <w:rPr>
          <w:spacing w:val="-3"/>
          <w:sz w:val="20"/>
        </w:rPr>
        <w:t> </w:t>
      </w:r>
      <w:r>
        <w:rPr>
          <w:sz w:val="20"/>
        </w:rPr>
        <w:t>concerned],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source:</w:t>
      </w:r>
      <w:r>
        <w:rPr>
          <w:i/>
          <w:spacing w:val="-2"/>
          <w:sz w:val="20"/>
        </w:rPr>
        <w:t> </w:t>
      </w:r>
      <w:r>
        <w:rPr>
          <w:sz w:val="20"/>
        </w:rPr>
        <w:t>e.g.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[author],</w:t>
      </w:r>
      <w:r>
        <w:rPr>
          <w:spacing w:val="-3"/>
          <w:sz w:val="20"/>
        </w:rPr>
        <w:t> </w:t>
      </w:r>
      <w:r>
        <w:rPr>
          <w:sz w:val="20"/>
        </w:rPr>
        <w:t>licensed</w:t>
      </w:r>
      <w:r>
        <w:rPr>
          <w:spacing w:val="-3"/>
          <w:sz w:val="20"/>
        </w:rPr>
        <w:t> </w:t>
      </w:r>
      <w:r>
        <w:rPr>
          <w:sz w:val="20"/>
        </w:rPr>
        <w:t>under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</w:t>
      </w:r>
      <w:r>
        <w:rPr>
          <w:spacing w:val="-3"/>
          <w:sz w:val="20"/>
        </w:rPr>
        <w:t> </w:t>
      </w:r>
      <w:r>
        <w:rPr>
          <w:sz w:val="20"/>
        </w:rPr>
        <w:t>[+</w:t>
      </w:r>
      <w:r>
        <w:rPr>
          <w:spacing w:val="-3"/>
          <w:sz w:val="20"/>
        </w:rPr>
        <w:t> </w:t>
      </w:r>
      <w:r>
        <w:rPr>
          <w:sz w:val="20"/>
        </w:rPr>
        <w:t>link</w:t>
      </w:r>
      <w:r>
        <w:rPr>
          <w:spacing w:val="-3"/>
          <w:sz w:val="20"/>
        </w:rPr>
        <w:t> </w:t>
      </w:r>
      <w:r>
        <w:rPr>
          <w:sz w:val="20"/>
        </w:rPr>
        <w:t>to the licence],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3" w:after="0"/>
        <w:ind w:left="880" w:right="0" w:hanging="380"/>
        <w:jc w:val="left"/>
        <w:rPr>
          <w:sz w:val="20"/>
        </w:rPr>
      </w:pPr>
      <w:r>
        <w:rPr>
          <w:sz w:val="20"/>
        </w:rPr>
        <w:t>[illustration/photo/etc.],</w:t>
      </w:r>
      <w:r>
        <w:rPr>
          <w:spacing w:val="-8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[name</w:t>
      </w:r>
      <w:r>
        <w:rPr>
          <w:spacing w:val="-6"/>
          <w:sz w:val="20"/>
        </w:rPr>
        <w:t> </w:t>
      </w:r>
      <w:r>
        <w:rPr>
          <w:sz w:val="20"/>
        </w:rPr>
        <w:t>of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6"/>
          <w:sz w:val="20"/>
        </w:rPr>
        <w:t> </w:t>
      </w:r>
      <w:r>
        <w:rPr>
          <w:sz w:val="20"/>
        </w:rPr>
        <w:t>artist],</w:t>
      </w:r>
      <w:r>
        <w:rPr>
          <w:spacing w:val="-5"/>
          <w:sz w:val="20"/>
        </w:rPr>
        <w:t> </w:t>
      </w:r>
      <w:r>
        <w:rPr>
          <w:sz w:val="20"/>
        </w:rPr>
        <w:t>[year],</w:t>
      </w:r>
      <w:r>
        <w:rPr>
          <w:spacing w:val="-6"/>
          <w:sz w:val="20"/>
        </w:rPr>
        <w:t> </w:t>
      </w:r>
      <w:r>
        <w:rPr>
          <w:sz w:val="20"/>
        </w:rPr>
        <w:t>all</w:t>
      </w:r>
      <w:r>
        <w:rPr>
          <w:spacing w:val="-5"/>
          <w:sz w:val="20"/>
        </w:rPr>
        <w:t> </w:t>
      </w:r>
      <w:r>
        <w:rPr>
          <w:sz w:val="20"/>
        </w:rPr>
        <w:t>rights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reserved.</w:t>
      </w:r>
    </w:p>
    <w:p>
      <w:pPr>
        <w:pStyle w:val="BodyText"/>
        <w:spacing w:before="98"/>
      </w:pPr>
    </w:p>
    <w:p>
      <w:pPr>
        <w:pStyle w:val="BodyText"/>
        <w:ind w:left="160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60"/>
      </w:pPr>
      <w:r>
        <w:rPr/>
        <w:t>For</w:t>
      </w:r>
      <w:r>
        <w:rPr>
          <w:spacing w:val="-3"/>
        </w:rPr>
        <w:t> </w:t>
      </w:r>
      <w:r>
        <w:rPr/>
        <w:t>any</w:t>
      </w:r>
      <w:r>
        <w:rPr>
          <w:spacing w:val="-3"/>
        </w:rPr>
        <w:t> </w:t>
      </w:r>
      <w:r>
        <w:rPr/>
        <w:t>use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reproduction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elements</w:t>
      </w:r>
      <w:r>
        <w:rPr>
          <w:spacing w:val="-3"/>
        </w:rPr>
        <w:t> </w:t>
      </w:r>
      <w:r>
        <w:rPr/>
        <w:t>that</w:t>
      </w:r>
      <w:r>
        <w:rPr>
          <w:spacing w:val="-3"/>
        </w:rPr>
        <w:t> </w:t>
      </w:r>
      <w:r>
        <w:rPr/>
        <w:t>are</w:t>
      </w:r>
      <w:r>
        <w:rPr>
          <w:spacing w:val="-3"/>
        </w:rPr>
        <w:t> </w:t>
      </w:r>
      <w:r>
        <w:rPr/>
        <w:t>not</w:t>
      </w:r>
      <w:r>
        <w:rPr>
          <w:spacing w:val="-3"/>
        </w:rPr>
        <w:t> </w:t>
      </w:r>
      <w:r>
        <w:rPr/>
        <w:t>owned</w:t>
      </w:r>
      <w:r>
        <w:rPr>
          <w:spacing w:val="-3"/>
        </w:rPr>
        <w:t> </w:t>
      </w:r>
      <w:r>
        <w:rPr/>
        <w:t>by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European</w:t>
      </w:r>
      <w:r>
        <w:rPr>
          <w:spacing w:val="-3"/>
        </w:rPr>
        <w:t> </w:t>
      </w:r>
      <w:r>
        <w:rPr/>
        <w:t>Union,</w:t>
      </w:r>
      <w:r>
        <w:rPr>
          <w:spacing w:val="-3"/>
        </w:rPr>
        <w:t> </w:t>
      </w:r>
      <w:r>
        <w:rPr/>
        <w:t>permission</w:t>
      </w:r>
      <w:r>
        <w:rPr>
          <w:spacing w:val="-3"/>
        </w:rPr>
        <w:t> </w:t>
      </w:r>
      <w:r>
        <w:rPr/>
        <w:t>may</w:t>
      </w:r>
      <w:r>
        <w:rPr>
          <w:spacing w:val="-3"/>
        </w:rPr>
        <w:t> </w:t>
      </w:r>
      <w:r>
        <w:rPr/>
        <w:t>need</w:t>
      </w:r>
      <w:r>
        <w:rPr>
          <w:spacing w:val="-3"/>
        </w:rPr>
        <w:t> </w:t>
      </w:r>
      <w:r>
        <w:rPr/>
        <w:t>to</w:t>
      </w:r>
      <w:r>
        <w:rPr>
          <w:spacing w:val="-3"/>
        </w:rPr>
        <w:t> </w:t>
      </w:r>
      <w:r>
        <w:rPr/>
        <w:t>be sought directly from the respective rightholders.</w:t>
      </w:r>
    </w:p>
    <w:p>
      <w:pPr>
        <w:pStyle w:val="BodyText"/>
        <w:spacing w:before="128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06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292293</wp:posOffset>
                </wp:positionV>
                <wp:extent cx="1676400" cy="4445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3.015242pt;width:131.970001pt;height:.313pt;mso-position-horizontal-relative:page;mso-position-vertical-relative:paragraph;z-index:-15728640;mso-wrap-distance-left:0;mso-wrap-distance-right:0" id="docshape1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spacing w:line="264" w:lineRule="auto" w:before="131"/>
        <w:ind w:left="460" w:right="375" w:hanging="300"/>
        <w:jc w:val="left"/>
        <w:rPr>
          <w:rFonts w:ascii="Gill Sans MT"/>
          <w:sz w:val="18"/>
        </w:rPr>
      </w:pPr>
      <w:bookmarkStart w:name="_bookmark1" w:id="3"/>
      <w:bookmarkEnd w:id="3"/>
      <w:r>
        <w:rPr/>
      </w:r>
      <w:hyperlink w:history="true" w:anchor="_bookmark0">
        <w:r>
          <w:rPr>
            <w:rFonts w:ascii="Gill Sans MT"/>
            <w:w w:val="105"/>
            <w:sz w:val="17"/>
          </w:rPr>
          <w:t>(</w:t>
        </w:r>
        <w:r>
          <w:rPr>
            <w:rFonts w:ascii="Gill Sans MT"/>
            <w:w w:val="105"/>
            <w:position w:val="4"/>
            <w:sz w:val="14"/>
          </w:rPr>
          <w:t>1</w:t>
        </w:r>
        <w:r>
          <w:rPr>
            <w:rFonts w:ascii="Gill Sans MT"/>
            <w:w w:val="105"/>
            <w:sz w:val="17"/>
          </w:rPr>
          <w:t>)</w:t>
        </w:r>
      </w:hyperlink>
      <w:r>
        <w:rPr>
          <w:rFonts w:ascii="Gill Sans MT"/>
          <w:spacing w:val="80"/>
          <w:w w:val="105"/>
          <w:sz w:val="17"/>
        </w:rPr>
        <w:t> </w:t>
      </w:r>
      <w:r>
        <w:rPr>
          <w:rFonts w:ascii="Gill Sans MT"/>
          <w:w w:val="105"/>
          <w:position w:val="1"/>
          <w:sz w:val="18"/>
        </w:rPr>
        <w:t>Disclaimer to be used if necessary. See other possible disclaimers in the </w:t>
      </w:r>
      <w:r>
        <w:rPr>
          <w:i/>
          <w:w w:val="105"/>
          <w:position w:val="1"/>
          <w:sz w:val="18"/>
        </w:rPr>
        <w:t>Interinstitutional Style Guide </w:t>
      </w:r>
      <w:r>
        <w:rPr>
          <w:rFonts w:ascii="Gill Sans MT"/>
          <w:w w:val="105"/>
          <w:position w:val="1"/>
          <w:sz w:val="18"/>
        </w:rPr>
        <w:t>(</w:t>
      </w:r>
      <w:hyperlink r:id="rId5">
        <w:r>
          <w:rPr>
            <w:rFonts w:ascii="Gill Sans MT"/>
            <w:color w:val="337AB7"/>
            <w:w w:val="105"/>
            <w:position w:val="1"/>
            <w:sz w:val="18"/>
            <w:u w:val="single" w:color="337AB7"/>
          </w:rPr>
          <w:t>Section 5.4.4.</w:t>
        </w:r>
      </w:hyperlink>
      <w:r>
        <w:rPr>
          <w:rFonts w:ascii="Gill Sans MT"/>
          <w:color w:val="337AB7"/>
          <w:w w:val="105"/>
          <w:position w:val="1"/>
          <w:sz w:val="18"/>
          <w:u w:val="none"/>
        </w:rPr>
        <w:t> </w:t>
      </w:r>
      <w:hyperlink r:id="rId5">
        <w:r>
          <w:rPr>
            <w:rFonts w:ascii="Gill Sans MT"/>
            <w:color w:val="337AB7"/>
            <w:w w:val="105"/>
            <w:sz w:val="18"/>
            <w:u w:val="single" w:color="337AB7"/>
          </w:rPr>
          <w:t>Other diclaimers</w:t>
        </w:r>
      </w:hyperlink>
      <w:r>
        <w:rPr>
          <w:rFonts w:ascii="Gill Sans MT"/>
          <w:w w:val="105"/>
          <w:sz w:val="18"/>
          <w:u w:val="none"/>
        </w:rPr>
        <w:t>) or in the </w:t>
      </w:r>
      <w:hyperlink r:id="rId6">
        <w:r>
          <w:rPr>
            <w:rFonts w:ascii="Gill Sans MT"/>
            <w:color w:val="337AB7"/>
            <w:w w:val="105"/>
            <w:sz w:val="18"/>
            <w:u w:val="single" w:color="337AB7"/>
          </w:rPr>
          <w:t>Quick Reference Guide</w:t>
        </w:r>
      </w:hyperlink>
      <w:r>
        <w:rPr>
          <w:rFonts w:ascii="Gill Sans MT"/>
          <w:color w:val="337AB7"/>
          <w:w w:val="105"/>
          <w:sz w:val="18"/>
          <w:u w:val="none"/>
        </w:rPr>
        <w:t> </w:t>
      </w:r>
      <w:r>
        <w:rPr>
          <w:rFonts w:ascii="Gill Sans MT"/>
          <w:w w:val="105"/>
          <w:sz w:val="18"/>
          <w:u w:val="none"/>
        </w:rPr>
        <w:t>(in English).</w:t>
      </w:r>
    </w:p>
    <w:p>
      <w:pPr>
        <w:spacing w:after="0" w:line="264" w:lineRule="auto"/>
        <w:jc w:val="left"/>
        <w:rPr>
          <w:rFonts w:ascii="Gill Sans MT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Getting</w:t>
      </w:r>
      <w:r>
        <w:rPr>
          <w:spacing w:val="-5"/>
        </w:rPr>
        <w:t> </w:t>
      </w:r>
      <w:r>
        <w:rPr/>
        <w:t>in</w:t>
      </w:r>
      <w:r>
        <w:rPr>
          <w:spacing w:val="-4"/>
        </w:rPr>
        <w:t> </w:t>
      </w:r>
      <w:r>
        <w:rPr/>
        <w:t>touch</w:t>
      </w:r>
      <w:r>
        <w:rPr>
          <w:spacing w:val="-4"/>
        </w:rPr>
        <w:t> </w:t>
      </w:r>
      <w:r>
        <w:rPr/>
        <w:t>with</w:t>
      </w:r>
      <w:r>
        <w:rPr>
          <w:spacing w:val="-4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/>
        <w:t>In</w:t>
      </w:r>
      <w:r>
        <w:rPr>
          <w:spacing w:val="-2"/>
        </w:rPr>
        <w:t> person</w:t>
      </w:r>
    </w:p>
    <w:p>
      <w:pPr>
        <w:spacing w:line="290" w:lineRule="auto" w:before="167"/>
        <w:ind w:left="443" w:right="589" w:firstLine="0"/>
        <w:jc w:val="left"/>
        <w:rPr>
          <w:sz w:val="22"/>
        </w:rPr>
      </w:pPr>
      <w:r>
        <w:rPr>
          <w:sz w:val="22"/>
        </w:rPr>
        <w:t>All over the European Union there are hundreds of Europe Direct centres. You can find the address</w:t>
      </w:r>
      <w:r>
        <w:rPr>
          <w:spacing w:val="-6"/>
          <w:sz w:val="22"/>
        </w:rPr>
        <w:t> </w:t>
      </w:r>
      <w:r>
        <w:rPr>
          <w:sz w:val="22"/>
        </w:rPr>
        <w:t>of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6"/>
          <w:sz w:val="22"/>
        </w:rPr>
        <w:t> </w:t>
      </w:r>
      <w:r>
        <w:rPr>
          <w:sz w:val="22"/>
        </w:rPr>
        <w:t>centre</w:t>
      </w:r>
      <w:r>
        <w:rPr>
          <w:spacing w:val="-6"/>
          <w:sz w:val="22"/>
        </w:rPr>
        <w:t> </w:t>
      </w:r>
      <w:r>
        <w:rPr>
          <w:sz w:val="22"/>
        </w:rPr>
        <w:t>nearest</w:t>
      </w:r>
      <w:r>
        <w:rPr>
          <w:spacing w:val="-6"/>
          <w:sz w:val="22"/>
        </w:rPr>
        <w:t> </w:t>
      </w: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online</w:t>
      </w:r>
      <w:r>
        <w:rPr>
          <w:spacing w:val="-6"/>
          <w:sz w:val="22"/>
        </w:rPr>
        <w:t> </w:t>
      </w:r>
      <w:r>
        <w:rPr>
          <w:sz w:val="22"/>
        </w:rPr>
        <w:t>(</w:t>
      </w:r>
      <w:hyperlink r:id="rId7">
        <w:r>
          <w:rPr>
            <w:color w:val="337AB7"/>
            <w:sz w:val="22"/>
            <w:u w:val="single" w:color="337AB7"/>
          </w:rPr>
          <w:t>european-union.europa.eu/contact-eu/meet-us_en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or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writing</w:t>
      </w:r>
    </w:p>
    <w:p>
      <w:pPr>
        <w:spacing w:line="290" w:lineRule="auto" w:before="166"/>
        <w:ind w:left="443" w:right="375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5"/>
          <w:sz w:val="22"/>
        </w:rPr>
        <w:t> </w:t>
      </w:r>
      <w:r>
        <w:rPr>
          <w:sz w:val="22"/>
        </w:rPr>
        <w:t>Direct</w:t>
      </w:r>
      <w:r>
        <w:rPr>
          <w:spacing w:val="-5"/>
          <w:sz w:val="22"/>
        </w:rPr>
        <w:t> </w:t>
      </w:r>
      <w:r>
        <w:rPr>
          <w:sz w:val="22"/>
        </w:rPr>
        <w:t>is</w:t>
      </w:r>
      <w:r>
        <w:rPr>
          <w:spacing w:val="-5"/>
          <w:sz w:val="22"/>
        </w:rPr>
        <w:t> </w:t>
      </w:r>
      <w:r>
        <w:rPr>
          <w:sz w:val="22"/>
        </w:rPr>
        <w:t>a</w:t>
      </w:r>
      <w:r>
        <w:rPr>
          <w:spacing w:val="-5"/>
          <w:sz w:val="22"/>
        </w:rPr>
        <w:t> </w:t>
      </w:r>
      <w:r>
        <w:rPr>
          <w:sz w:val="22"/>
        </w:rPr>
        <w:t>service</w:t>
      </w:r>
      <w:r>
        <w:rPr>
          <w:spacing w:val="-5"/>
          <w:sz w:val="22"/>
        </w:rPr>
        <w:t> </w:t>
      </w:r>
      <w:r>
        <w:rPr>
          <w:sz w:val="22"/>
        </w:rPr>
        <w:t>that</w:t>
      </w:r>
      <w:r>
        <w:rPr>
          <w:spacing w:val="-5"/>
          <w:sz w:val="22"/>
        </w:rPr>
        <w:t> </w:t>
      </w:r>
      <w:r>
        <w:rPr>
          <w:sz w:val="22"/>
        </w:rPr>
        <w:t>answers</w:t>
      </w:r>
      <w:r>
        <w:rPr>
          <w:spacing w:val="-5"/>
          <w:sz w:val="22"/>
        </w:rPr>
        <w:t> </w:t>
      </w:r>
      <w:r>
        <w:rPr>
          <w:sz w:val="22"/>
        </w:rPr>
        <w:t>your</w:t>
      </w:r>
      <w:r>
        <w:rPr>
          <w:spacing w:val="-5"/>
          <w:sz w:val="22"/>
        </w:rPr>
        <w:t> </w:t>
      </w:r>
      <w:r>
        <w:rPr>
          <w:sz w:val="22"/>
        </w:rPr>
        <w:t>questions</w:t>
      </w:r>
      <w:r>
        <w:rPr>
          <w:spacing w:val="-5"/>
          <w:sz w:val="22"/>
        </w:rPr>
        <w:t> </w:t>
      </w:r>
      <w:r>
        <w:rPr>
          <w:sz w:val="22"/>
        </w:rPr>
        <w:t>about</w:t>
      </w:r>
      <w:r>
        <w:rPr>
          <w:spacing w:val="-5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European</w:t>
      </w:r>
      <w:r>
        <w:rPr>
          <w:spacing w:val="-5"/>
          <w:sz w:val="22"/>
        </w:rPr>
        <w:t> </w:t>
      </w:r>
      <w:r>
        <w:rPr>
          <w:sz w:val="22"/>
        </w:rPr>
        <w:t>Union.</w:t>
      </w:r>
      <w:r>
        <w:rPr>
          <w:spacing w:val="-5"/>
          <w:sz w:val="22"/>
        </w:rPr>
        <w:t> </w:t>
      </w:r>
      <w:r>
        <w:rPr>
          <w:sz w:val="22"/>
        </w:rPr>
        <w:t>You</w:t>
      </w:r>
      <w:r>
        <w:rPr>
          <w:spacing w:val="-5"/>
          <w:sz w:val="22"/>
        </w:rPr>
        <w:t> </w:t>
      </w:r>
      <w:r>
        <w:rPr>
          <w:sz w:val="22"/>
        </w:rPr>
        <w:t>can contact this service: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by</w:t>
      </w:r>
      <w:r>
        <w:rPr>
          <w:spacing w:val="-7"/>
          <w:sz w:val="22"/>
        </w:rPr>
        <w:t> </w:t>
      </w:r>
      <w:r>
        <w:rPr>
          <w:sz w:val="22"/>
        </w:rPr>
        <w:t>freephone: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(certain</w:t>
      </w:r>
      <w:r>
        <w:rPr>
          <w:spacing w:val="-4"/>
          <w:sz w:val="22"/>
        </w:rPr>
        <w:t> </w:t>
      </w:r>
      <w:r>
        <w:rPr>
          <w:sz w:val="22"/>
        </w:rPr>
        <w:t>operators</w:t>
      </w:r>
      <w:r>
        <w:rPr>
          <w:spacing w:val="-4"/>
          <w:sz w:val="22"/>
        </w:rPr>
        <w:t> </w:t>
      </w:r>
      <w:r>
        <w:rPr>
          <w:sz w:val="22"/>
        </w:rPr>
        <w:t>may</w:t>
      </w:r>
      <w:r>
        <w:rPr>
          <w:spacing w:val="-4"/>
          <w:sz w:val="22"/>
        </w:rPr>
        <w:t> </w:t>
      </w:r>
      <w:r>
        <w:rPr>
          <w:sz w:val="22"/>
        </w:rPr>
        <w:t>charge</w:t>
      </w:r>
      <w:r>
        <w:rPr>
          <w:spacing w:val="-4"/>
          <w:sz w:val="22"/>
        </w:rPr>
        <w:t> </w:t>
      </w:r>
      <w:r>
        <w:rPr>
          <w:sz w:val="22"/>
        </w:rPr>
        <w:t>for</w:t>
      </w:r>
      <w:r>
        <w:rPr>
          <w:spacing w:val="-4"/>
          <w:sz w:val="22"/>
        </w:rPr>
        <w:t> </w:t>
      </w:r>
      <w:r>
        <w:rPr>
          <w:sz w:val="22"/>
        </w:rPr>
        <w:t>these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calls);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at</w:t>
      </w:r>
      <w:r>
        <w:rPr>
          <w:spacing w:val="-6"/>
          <w:sz w:val="22"/>
        </w:rPr>
        <w:t> </w:t>
      </w:r>
      <w:r>
        <w:rPr>
          <w:sz w:val="22"/>
        </w:rPr>
        <w:t>the</w:t>
      </w:r>
      <w:r>
        <w:rPr>
          <w:spacing w:val="-5"/>
          <w:sz w:val="22"/>
        </w:rPr>
        <w:t> </w:t>
      </w:r>
      <w:r>
        <w:rPr>
          <w:sz w:val="22"/>
        </w:rPr>
        <w:t>following</w:t>
      </w:r>
      <w:r>
        <w:rPr>
          <w:spacing w:val="-5"/>
          <w:sz w:val="22"/>
        </w:rPr>
        <w:t> </w:t>
      </w:r>
      <w:r>
        <w:rPr>
          <w:sz w:val="22"/>
        </w:rPr>
        <w:t>standard</w:t>
      </w:r>
      <w:r>
        <w:rPr>
          <w:spacing w:val="-6"/>
          <w:sz w:val="22"/>
        </w:rPr>
        <w:t> </w:t>
      </w:r>
      <w:r>
        <w:rPr>
          <w:sz w:val="22"/>
        </w:rPr>
        <w:t>number:</w:t>
      </w:r>
      <w:r>
        <w:rPr>
          <w:spacing w:val="-5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2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via</w:t>
      </w:r>
      <w:r>
        <w:rPr>
          <w:spacing w:val="13"/>
          <w:sz w:val="22"/>
        </w:rPr>
        <w:t> </w:t>
      </w:r>
      <w:r>
        <w:rPr>
          <w:spacing w:val="-2"/>
          <w:sz w:val="22"/>
        </w:rPr>
        <w:t>the</w:t>
      </w:r>
      <w:r>
        <w:rPr>
          <w:spacing w:val="16"/>
          <w:sz w:val="22"/>
        </w:rPr>
        <w:t> </w:t>
      </w:r>
      <w:r>
        <w:rPr>
          <w:spacing w:val="-2"/>
          <w:sz w:val="22"/>
        </w:rPr>
        <w:t>following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form:</w:t>
      </w:r>
      <w:r>
        <w:rPr>
          <w:spacing w:val="16"/>
          <w:sz w:val="22"/>
        </w:rPr>
        <w:t> </w:t>
      </w:r>
      <w:hyperlink r:id="rId8">
        <w:r>
          <w:rPr>
            <w:color w:val="337AB7"/>
            <w:spacing w:val="-2"/>
            <w:sz w:val="22"/>
            <w:u w:val="single" w:color="337AB7"/>
          </w:rPr>
          <w:t>european-union.europa.eu/contact-eu/write-us_en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Finding</w:t>
      </w:r>
      <w:r>
        <w:rPr>
          <w:spacing w:val="-6"/>
        </w:rPr>
        <w:t> </w:t>
      </w:r>
      <w:r>
        <w:rPr/>
        <w:t>information</w:t>
      </w:r>
      <w:r>
        <w:rPr>
          <w:spacing w:val="-5"/>
        </w:rPr>
        <w:t> </w:t>
      </w:r>
      <w:r>
        <w:rPr/>
        <w:t>about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EU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about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European</w:t>
      </w:r>
      <w:r>
        <w:rPr>
          <w:spacing w:val="-3"/>
          <w:sz w:val="22"/>
        </w:rPr>
        <w:t> </w:t>
      </w:r>
      <w:r>
        <w:rPr>
          <w:sz w:val="22"/>
        </w:rPr>
        <w:t>Union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</w:t>
      </w:r>
      <w:r>
        <w:rPr>
          <w:spacing w:val="-3"/>
          <w:sz w:val="22"/>
        </w:rPr>
        <w:t> </w:t>
      </w:r>
      <w:r>
        <w:rPr>
          <w:sz w:val="22"/>
        </w:rPr>
        <w:t>languages</w:t>
      </w:r>
      <w:r>
        <w:rPr>
          <w:spacing w:val="-3"/>
          <w:sz w:val="22"/>
        </w:rPr>
        <w:t> </w:t>
      </w:r>
      <w:r>
        <w:rPr>
          <w:sz w:val="22"/>
        </w:rPr>
        <w:t>of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available</w:t>
      </w:r>
      <w:r>
        <w:rPr>
          <w:spacing w:val="-3"/>
          <w:sz w:val="22"/>
        </w:rPr>
        <w:t> </w:t>
      </w:r>
      <w:r>
        <w:rPr>
          <w:sz w:val="22"/>
        </w:rPr>
        <w:t>on</w:t>
      </w:r>
      <w:r>
        <w:rPr>
          <w:spacing w:val="-3"/>
          <w:sz w:val="22"/>
        </w:rPr>
        <w:t> </w:t>
      </w:r>
      <w:r>
        <w:rPr>
          <w:sz w:val="22"/>
        </w:rPr>
        <w:t>the Europa website (</w:t>
      </w:r>
      <w:hyperlink r:id="rId9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2"/>
        </w:rPr>
        <w:t> publications</w:t>
      </w:r>
    </w:p>
    <w:p>
      <w:pPr>
        <w:spacing w:line="290" w:lineRule="auto" w:before="167"/>
        <w:ind w:left="443" w:right="586" w:firstLine="0"/>
        <w:jc w:val="left"/>
        <w:rPr>
          <w:sz w:val="22"/>
        </w:rPr>
      </w:pPr>
      <w:r>
        <w:rPr>
          <w:sz w:val="22"/>
        </w:rPr>
        <w:t>You</w:t>
      </w:r>
      <w:r>
        <w:rPr>
          <w:spacing w:val="-6"/>
          <w:sz w:val="22"/>
        </w:rPr>
        <w:t> </w:t>
      </w:r>
      <w:r>
        <w:rPr>
          <w:sz w:val="22"/>
        </w:rPr>
        <w:t>can</w:t>
      </w:r>
      <w:r>
        <w:rPr>
          <w:spacing w:val="-6"/>
          <w:sz w:val="22"/>
        </w:rPr>
        <w:t> </w:t>
      </w:r>
      <w:r>
        <w:rPr>
          <w:sz w:val="22"/>
        </w:rPr>
        <w:t>view</w:t>
      </w:r>
      <w:r>
        <w:rPr>
          <w:spacing w:val="-6"/>
          <w:sz w:val="22"/>
        </w:rPr>
        <w:t> </w:t>
      </w:r>
      <w:r>
        <w:rPr>
          <w:sz w:val="22"/>
        </w:rPr>
        <w:t>or</w:t>
      </w:r>
      <w:r>
        <w:rPr>
          <w:spacing w:val="-6"/>
          <w:sz w:val="22"/>
        </w:rPr>
        <w:t> </w:t>
      </w:r>
      <w:r>
        <w:rPr>
          <w:sz w:val="22"/>
        </w:rPr>
        <w:t>order</w:t>
      </w:r>
      <w:r>
        <w:rPr>
          <w:spacing w:val="-6"/>
          <w:sz w:val="22"/>
        </w:rPr>
        <w:t> </w:t>
      </w:r>
      <w:r>
        <w:rPr>
          <w:sz w:val="22"/>
        </w:rPr>
        <w:t>EU</w:t>
      </w:r>
      <w:r>
        <w:rPr>
          <w:spacing w:val="-6"/>
          <w:sz w:val="22"/>
        </w:rPr>
        <w:t> </w:t>
      </w:r>
      <w:r>
        <w:rPr>
          <w:sz w:val="22"/>
        </w:rPr>
        <w:t>publications</w:t>
      </w:r>
      <w:r>
        <w:rPr>
          <w:spacing w:val="-6"/>
          <w:sz w:val="22"/>
        </w:rPr>
        <w:t> </w:t>
      </w:r>
      <w:r>
        <w:rPr>
          <w:sz w:val="22"/>
        </w:rPr>
        <w:t>at</w:t>
      </w:r>
      <w:r>
        <w:rPr>
          <w:spacing w:val="-6"/>
          <w:sz w:val="22"/>
        </w:rPr>
        <w:t> </w:t>
      </w:r>
      <w:hyperlink r:id="rId10">
        <w:r>
          <w:rPr>
            <w:color w:val="337AB7"/>
            <w:sz w:val="22"/>
            <w:u w:val="single" w:color="337AB7"/>
          </w:rPr>
          <w:t>op.europa.eu/en/publications</w:t>
        </w:r>
      </w:hyperlink>
      <w:r>
        <w:rPr>
          <w:sz w:val="22"/>
          <w:u w:val="none"/>
        </w:rPr>
        <w:t>.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Multiple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copies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6"/>
          <w:sz w:val="22"/>
          <w:u w:val="none"/>
        </w:rPr>
        <w:t> </w:t>
      </w:r>
      <w:r>
        <w:rPr>
          <w:sz w:val="22"/>
          <w:u w:val="none"/>
        </w:rPr>
        <w:t>free publications can be obtained by contacting Europe Direct or your local documentation centre </w:t>
      </w:r>
      <w:r>
        <w:rPr>
          <w:spacing w:val="-2"/>
          <w:sz w:val="22"/>
          <w:u w:val="none"/>
        </w:rPr>
        <w:t>(</w:t>
      </w:r>
      <w:hyperlink r:id="rId7">
        <w:r>
          <w:rPr>
            <w:color w:val="337AB7"/>
            <w:spacing w:val="-2"/>
            <w:sz w:val="22"/>
            <w:u w:val="single" w:color="337AB7"/>
          </w:rPr>
          <w:t>european-union.europa.eu/contact-eu/meet-us_en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4"/>
        </w:rPr>
        <w:t> </w:t>
      </w:r>
      <w:r>
        <w:rPr/>
        <w:t>law</w:t>
      </w:r>
      <w:r>
        <w:rPr>
          <w:spacing w:val="-4"/>
        </w:rPr>
        <w:t> </w:t>
      </w:r>
      <w:r>
        <w:rPr/>
        <w:t>and</w:t>
      </w:r>
      <w:r>
        <w:rPr>
          <w:spacing w:val="-4"/>
        </w:rPr>
        <w:t> </w:t>
      </w:r>
      <w:r>
        <w:rPr/>
        <w:t>related</w:t>
      </w:r>
      <w:r>
        <w:rPr>
          <w:spacing w:val="-3"/>
        </w:rPr>
        <w:t> </w:t>
      </w:r>
      <w:r>
        <w:rPr>
          <w:spacing w:val="-2"/>
        </w:rPr>
        <w:t>documents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For</w:t>
      </w:r>
      <w:r>
        <w:rPr>
          <w:spacing w:val="-3"/>
          <w:sz w:val="22"/>
        </w:rPr>
        <w:t> </w:t>
      </w:r>
      <w:r>
        <w:rPr>
          <w:sz w:val="22"/>
        </w:rPr>
        <w:t>access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legal</w:t>
      </w:r>
      <w:r>
        <w:rPr>
          <w:spacing w:val="-3"/>
          <w:sz w:val="22"/>
        </w:rPr>
        <w:t> </w:t>
      </w:r>
      <w:r>
        <w:rPr>
          <w:sz w:val="22"/>
        </w:rPr>
        <w:t>information</w:t>
      </w:r>
      <w:r>
        <w:rPr>
          <w:spacing w:val="-3"/>
          <w:sz w:val="22"/>
        </w:rPr>
        <w:t> </w:t>
      </w:r>
      <w:r>
        <w:rPr>
          <w:sz w:val="22"/>
        </w:rPr>
        <w:t>from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EU,</w:t>
      </w:r>
      <w:r>
        <w:rPr>
          <w:spacing w:val="-3"/>
          <w:sz w:val="22"/>
        </w:rPr>
        <w:t> </w:t>
      </w:r>
      <w:r>
        <w:rPr>
          <w:sz w:val="22"/>
        </w:rPr>
        <w:t>including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law</w:t>
      </w:r>
      <w:r>
        <w:rPr>
          <w:spacing w:val="-3"/>
          <w:sz w:val="22"/>
        </w:rPr>
        <w:t> </w:t>
      </w:r>
      <w:r>
        <w:rPr>
          <w:sz w:val="22"/>
        </w:rPr>
        <w:t>since</w:t>
      </w:r>
      <w:r>
        <w:rPr>
          <w:spacing w:val="-3"/>
          <w:sz w:val="22"/>
        </w:rPr>
        <w:t> </w:t>
      </w:r>
      <w:r>
        <w:rPr>
          <w:sz w:val="22"/>
        </w:rPr>
        <w:t>1951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3"/>
          <w:sz w:val="22"/>
        </w:rPr>
        <w:t> </w:t>
      </w:r>
      <w:r>
        <w:rPr>
          <w:sz w:val="22"/>
        </w:rPr>
        <w:t>official language versions, go to EUR-Lex (</w:t>
      </w:r>
      <w:hyperlink r:id="rId11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EU</w:t>
      </w:r>
      <w:r>
        <w:rPr>
          <w:spacing w:val="-3"/>
        </w:rPr>
        <w:t> </w:t>
      </w:r>
      <w:r>
        <w:rPr/>
        <w:t>open</w:t>
      </w:r>
      <w:r>
        <w:rPr>
          <w:spacing w:val="-3"/>
        </w:rPr>
        <w:t> </w:t>
      </w:r>
      <w:r>
        <w:rPr>
          <w:spacing w:val="-4"/>
        </w:rPr>
        <w:t>data</w:t>
      </w:r>
    </w:p>
    <w:p>
      <w:pPr>
        <w:spacing w:line="290" w:lineRule="auto" w:before="167"/>
        <w:ind w:left="443" w:right="375" w:firstLine="0"/>
        <w:jc w:val="left"/>
        <w:rPr>
          <w:sz w:val="22"/>
        </w:rPr>
      </w:pPr>
      <w:r>
        <w:rPr>
          <w:sz w:val="22"/>
        </w:rPr>
        <w:t>The portal </w:t>
      </w:r>
      <w:hyperlink r:id="rId12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provides access to open datasets from the EU institutions, bodies and agencies. These can be downloaded and reused for free, for both commercial and non- commercial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purposes.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The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also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provides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wealth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datasets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from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European </w:t>
      </w:r>
      <w:r>
        <w:rPr>
          <w:spacing w:val="-2"/>
          <w:sz w:val="22"/>
          <w:u w:val="none"/>
        </w:rPr>
        <w:t>countries.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s://style-guide.europa.eu/en/content/-/isg/topic?identifier=5.4.4-other-disclaimers" TargetMode="External"/><Relationship Id="rId6" Type="http://schemas.openxmlformats.org/officeDocument/2006/relationships/hyperlink" Target="https://style-guide.europa.eu/o/opportal-service/isg?resource=es/../multilingual/Quick_reference_guide.pdf" TargetMode="External"/><Relationship Id="rId7" Type="http://schemas.openxmlformats.org/officeDocument/2006/relationships/hyperlink" Target="https://european-union.europa.eu/contact-eu/meet-us_en" TargetMode="External"/><Relationship Id="rId8" Type="http://schemas.openxmlformats.org/officeDocument/2006/relationships/hyperlink" Target="https://european-union.europa.eu/contact-eu/write-us_en" TargetMode="External"/><Relationship Id="rId9" Type="http://schemas.openxmlformats.org/officeDocument/2006/relationships/hyperlink" Target="https://european-union.europa.eu/index_en" TargetMode="External"/><Relationship Id="rId10" Type="http://schemas.openxmlformats.org/officeDocument/2006/relationships/hyperlink" Target="https://op.europa.eu/en/publications" TargetMode="External"/><Relationship Id="rId11" Type="http://schemas.openxmlformats.org/officeDocument/2006/relationships/hyperlink" Target="https://eur-lex.europa.eu/" TargetMode="External"/><Relationship Id="rId12" Type="http://schemas.openxmlformats.org/officeDocument/2006/relationships/hyperlink" Target="https://data.europa.eu/en" TargetMode="External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Union institutions, bodies and services without legal personality – EN</dc:title>
  <dcterms:created xsi:type="dcterms:W3CDTF">2025-01-15T12:22:36Z</dcterms:created>
  <dcterms:modified xsi:type="dcterms:W3CDTF">2025-01-15T12:22:36Z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