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CS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Rukopis</w:t>
      </w:r>
      <w:r>
        <w:rPr>
          <w:spacing w:val="-5"/>
          <w:sz w:val="20"/>
        </w:rPr>
        <w:t> </w:t>
      </w:r>
      <w:r>
        <w:rPr>
          <w:sz w:val="20"/>
        </w:rPr>
        <w:t>dokončen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[měsíc]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[rok]</w:t>
      </w:r>
    </w:p>
    <w:p>
      <w:pPr>
        <w:spacing w:line="560" w:lineRule="atLeast" w:before="0"/>
        <w:ind w:left="160" w:right="4689" w:firstLine="0"/>
        <w:jc w:val="left"/>
        <w:rPr>
          <w:sz w:val="20"/>
        </w:rPr>
      </w:pPr>
      <w:r>
        <w:rPr>
          <w:sz w:val="20"/>
        </w:rPr>
        <w:t>Revidované</w:t>
      </w:r>
      <w:r>
        <w:rPr>
          <w:spacing w:val="-7"/>
          <w:sz w:val="20"/>
        </w:rPr>
        <w:t> </w:t>
      </w:r>
      <w:r>
        <w:rPr>
          <w:sz w:val="20"/>
        </w:rPr>
        <w:t>vydání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spacing w:val="-7"/>
          <w:sz w:val="20"/>
        </w:rPr>
        <w:t> </w:t>
      </w:r>
      <w:r>
        <w:rPr>
          <w:sz w:val="20"/>
        </w:rPr>
        <w:t>Opravené</w:t>
      </w:r>
      <w:r>
        <w:rPr>
          <w:spacing w:val="-7"/>
          <w:sz w:val="20"/>
        </w:rPr>
        <w:t> </w:t>
      </w:r>
      <w:r>
        <w:rPr>
          <w:sz w:val="20"/>
        </w:rPr>
        <w:t>vydání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n</w:t>
      </w:r>
      <w:r>
        <w:rPr>
          <w:sz w:val="20"/>
        </w:rPr>
        <w:t>-té]</w:t>
      </w:r>
      <w:r>
        <w:rPr>
          <w:spacing w:val="-7"/>
          <w:sz w:val="20"/>
        </w:rPr>
        <w:t> </w:t>
      </w:r>
      <w:r>
        <w:rPr>
          <w:sz w:val="20"/>
        </w:rPr>
        <w:t>vydání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583" w:lineRule="auto" w:before="100"/>
        <w:ind w:left="160" w:right="1616" w:firstLine="0"/>
        <w:jc w:val="left"/>
        <w:rPr>
          <w:sz w:val="20"/>
        </w:rPr>
      </w:pPr>
      <w:r>
        <w:rPr>
          <w:sz w:val="20"/>
        </w:rPr>
        <w:t>Tento</w:t>
      </w:r>
      <w:r>
        <w:rPr>
          <w:spacing w:val="-8"/>
          <w:sz w:val="20"/>
        </w:rPr>
        <w:t> </w:t>
      </w:r>
      <w:r>
        <w:rPr>
          <w:sz w:val="20"/>
        </w:rPr>
        <w:t>dokument</w:t>
      </w:r>
      <w:r>
        <w:rPr>
          <w:spacing w:val="-8"/>
          <w:sz w:val="20"/>
        </w:rPr>
        <w:t> </w:t>
      </w:r>
      <w:r>
        <w:rPr>
          <w:sz w:val="20"/>
        </w:rPr>
        <w:t>nemůže</w:t>
      </w:r>
      <w:r>
        <w:rPr>
          <w:spacing w:val="-8"/>
          <w:sz w:val="20"/>
        </w:rPr>
        <w:t> </w:t>
      </w:r>
      <w:r>
        <w:rPr>
          <w:sz w:val="20"/>
        </w:rPr>
        <w:t>být</w:t>
      </w:r>
      <w:r>
        <w:rPr>
          <w:spacing w:val="-8"/>
          <w:sz w:val="20"/>
        </w:rPr>
        <w:t> </w:t>
      </w:r>
      <w:r>
        <w:rPr>
          <w:sz w:val="20"/>
        </w:rPr>
        <w:t>považován</w:t>
      </w:r>
      <w:r>
        <w:rPr>
          <w:spacing w:val="-8"/>
          <w:sz w:val="20"/>
        </w:rPr>
        <w:t> </w:t>
      </w:r>
      <w:r>
        <w:rPr>
          <w:sz w:val="20"/>
        </w:rPr>
        <w:t>za</w:t>
      </w:r>
      <w:r>
        <w:rPr>
          <w:spacing w:val="-8"/>
          <w:sz w:val="20"/>
        </w:rPr>
        <w:t> </w:t>
      </w:r>
      <w:r>
        <w:rPr>
          <w:sz w:val="20"/>
        </w:rPr>
        <w:t>oficiální</w:t>
      </w:r>
      <w:r>
        <w:rPr>
          <w:spacing w:val="-8"/>
          <w:sz w:val="20"/>
        </w:rPr>
        <w:t> </w:t>
      </w:r>
      <w:r>
        <w:rPr>
          <w:sz w:val="20"/>
        </w:rPr>
        <w:t>stanovisko</w:t>
      </w:r>
      <w:r>
        <w:rPr>
          <w:spacing w:val="-8"/>
          <w:sz w:val="20"/>
        </w:rPr>
        <w:t> </w:t>
      </w:r>
      <w:r>
        <w:rPr>
          <w:sz w:val="20"/>
        </w:rPr>
        <w:t>[orgánu/instituce]. Lucemburk: Úřad pro publikace Evropské unie, [rok]</w:t>
      </w:r>
    </w:p>
    <w:p>
      <w:pPr>
        <w:spacing w:line="228" w:lineRule="exact" w:before="0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Evropská</w:t>
      </w:r>
      <w:r>
        <w:rPr>
          <w:spacing w:val="-5"/>
          <w:sz w:val="20"/>
        </w:rPr>
        <w:t> </w:t>
      </w:r>
      <w:r>
        <w:rPr>
          <w:sz w:val="20"/>
        </w:rPr>
        <w:t>unie,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[rok]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Reprodukce</w:t>
      </w:r>
      <w:r>
        <w:rPr>
          <w:spacing w:val="-8"/>
          <w:sz w:val="20"/>
        </w:rPr>
        <w:t> </w:t>
      </w:r>
      <w:r>
        <w:rPr>
          <w:sz w:val="20"/>
        </w:rPr>
        <w:t>povolena</w:t>
      </w:r>
      <w:r>
        <w:rPr>
          <w:spacing w:val="-7"/>
          <w:sz w:val="20"/>
        </w:rPr>
        <w:t> </w:t>
      </w:r>
      <w:r>
        <w:rPr>
          <w:sz w:val="20"/>
        </w:rPr>
        <w:t>pod</w:t>
      </w:r>
      <w:r>
        <w:rPr>
          <w:spacing w:val="-8"/>
          <w:sz w:val="20"/>
        </w:rPr>
        <w:t> </w:t>
      </w:r>
      <w:r>
        <w:rPr>
          <w:sz w:val="20"/>
        </w:rPr>
        <w:t>podmínkou</w:t>
      </w:r>
      <w:r>
        <w:rPr>
          <w:spacing w:val="-7"/>
          <w:sz w:val="20"/>
        </w:rPr>
        <w:t> </w:t>
      </w:r>
      <w:r>
        <w:rPr>
          <w:sz w:val="20"/>
        </w:rPr>
        <w:t>uvedení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zdroje.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K</w:t>
      </w:r>
      <w:r>
        <w:rPr>
          <w:spacing w:val="-4"/>
          <w:sz w:val="20"/>
        </w:rPr>
        <w:t> </w:t>
      </w:r>
      <w:r>
        <w:rPr>
          <w:sz w:val="20"/>
        </w:rPr>
        <w:t>veškerému</w:t>
      </w:r>
      <w:r>
        <w:rPr>
          <w:spacing w:val="-4"/>
          <w:sz w:val="20"/>
        </w:rPr>
        <w:t> </w:t>
      </w:r>
      <w:r>
        <w:rPr>
          <w:sz w:val="20"/>
        </w:rPr>
        <w:t>použití</w:t>
      </w:r>
      <w:r>
        <w:rPr>
          <w:spacing w:val="-4"/>
          <w:sz w:val="20"/>
        </w:rPr>
        <w:t> </w:t>
      </w:r>
      <w:r>
        <w:rPr>
          <w:sz w:val="20"/>
        </w:rPr>
        <w:t>nebo</w:t>
      </w:r>
      <w:r>
        <w:rPr>
          <w:spacing w:val="-4"/>
          <w:sz w:val="20"/>
        </w:rPr>
        <w:t> </w:t>
      </w:r>
      <w:r>
        <w:rPr>
          <w:sz w:val="20"/>
        </w:rPr>
        <w:t>reprodukci</w:t>
      </w:r>
      <w:r>
        <w:rPr>
          <w:spacing w:val="-4"/>
          <w:sz w:val="20"/>
        </w:rPr>
        <w:t> </w:t>
      </w:r>
      <w:r>
        <w:rPr>
          <w:sz w:val="20"/>
        </w:rPr>
        <w:t>prvků,</w:t>
      </w:r>
      <w:r>
        <w:rPr>
          <w:spacing w:val="-4"/>
          <w:sz w:val="20"/>
        </w:rPr>
        <w:t> </w:t>
      </w:r>
      <w:r>
        <w:rPr>
          <w:sz w:val="20"/>
        </w:rPr>
        <w:t>které</w:t>
      </w:r>
      <w:r>
        <w:rPr>
          <w:spacing w:val="-4"/>
          <w:sz w:val="20"/>
        </w:rPr>
        <w:t> </w:t>
      </w:r>
      <w:r>
        <w:rPr>
          <w:sz w:val="20"/>
        </w:rPr>
        <w:t>nejsou</w:t>
      </w:r>
      <w:r>
        <w:rPr>
          <w:spacing w:val="-4"/>
          <w:sz w:val="20"/>
        </w:rPr>
        <w:t> </w:t>
      </w:r>
      <w:r>
        <w:rPr>
          <w:sz w:val="20"/>
        </w:rPr>
        <w:t>ve</w:t>
      </w:r>
      <w:r>
        <w:rPr>
          <w:spacing w:val="-4"/>
          <w:sz w:val="20"/>
        </w:rPr>
        <w:t> </w:t>
      </w:r>
      <w:r>
        <w:rPr>
          <w:sz w:val="20"/>
        </w:rPr>
        <w:t>vlastnictví</w:t>
      </w:r>
      <w:r>
        <w:rPr>
          <w:spacing w:val="-4"/>
          <w:sz w:val="20"/>
        </w:rPr>
        <w:t> </w:t>
      </w:r>
      <w:r>
        <w:rPr>
          <w:sz w:val="20"/>
        </w:rPr>
        <w:t>Evropské</w:t>
      </w:r>
      <w:r>
        <w:rPr>
          <w:spacing w:val="-4"/>
          <w:sz w:val="20"/>
        </w:rPr>
        <w:t> </w:t>
      </w:r>
      <w:r>
        <w:rPr>
          <w:sz w:val="20"/>
        </w:rPr>
        <w:t>unie,</w:t>
      </w:r>
      <w:r>
        <w:rPr>
          <w:spacing w:val="-4"/>
          <w:sz w:val="20"/>
        </w:rPr>
        <w:t> </w:t>
      </w:r>
      <w:r>
        <w:rPr>
          <w:sz w:val="20"/>
        </w:rPr>
        <w:t>může</w:t>
      </w:r>
      <w:r>
        <w:rPr>
          <w:spacing w:val="-4"/>
          <w:sz w:val="20"/>
        </w:rPr>
        <w:t> </w:t>
      </w:r>
      <w:r>
        <w:rPr>
          <w:sz w:val="20"/>
        </w:rPr>
        <w:t>být</w:t>
      </w:r>
      <w:r>
        <w:rPr>
          <w:spacing w:val="-4"/>
          <w:sz w:val="20"/>
        </w:rPr>
        <w:t> </w:t>
      </w:r>
      <w:r>
        <w:rPr>
          <w:sz w:val="20"/>
        </w:rPr>
        <w:t>nutné</w:t>
      </w:r>
      <w:r>
        <w:rPr>
          <w:spacing w:val="-4"/>
          <w:sz w:val="20"/>
        </w:rPr>
        <w:t> </w:t>
      </w:r>
      <w:r>
        <w:rPr>
          <w:sz w:val="20"/>
        </w:rPr>
        <w:t>získat svolení přímo od příslušných nositelů práv. Evropská unie 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3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[dotyčný</w:t>
      </w:r>
      <w:r>
        <w:rPr>
          <w:spacing w:val="-3"/>
          <w:sz w:val="20"/>
        </w:rPr>
        <w:t> </w:t>
      </w:r>
      <w:r>
        <w:rPr>
          <w:sz w:val="20"/>
        </w:rPr>
        <w:t>prvek],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2"/>
          <w:sz w:val="20"/>
        </w:rPr>
        <w:t> </w:t>
      </w:r>
      <w:r>
        <w:rPr>
          <w:sz w:val="20"/>
        </w:rPr>
        <w:t>např.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licence</w:t>
      </w:r>
      <w:r>
        <w:rPr>
          <w:spacing w:val="-3"/>
          <w:sz w:val="20"/>
        </w:rPr>
        <w:t> </w:t>
      </w:r>
      <w:r>
        <w:rPr>
          <w:sz w:val="20"/>
        </w:rPr>
        <w:t>v</w:t>
      </w:r>
      <w:r>
        <w:rPr>
          <w:spacing w:val="-3"/>
          <w:sz w:val="20"/>
        </w:rPr>
        <w:t> </w:t>
      </w:r>
      <w:r>
        <w:rPr>
          <w:sz w:val="20"/>
        </w:rPr>
        <w:t>rámci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odkaz</w:t>
      </w:r>
      <w:r>
        <w:rPr>
          <w:spacing w:val="-3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98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K</w:t>
      </w:r>
      <w:r>
        <w:rPr>
          <w:spacing w:val="-4"/>
          <w:sz w:val="20"/>
        </w:rPr>
        <w:t> </w:t>
      </w:r>
      <w:r>
        <w:rPr>
          <w:sz w:val="20"/>
        </w:rPr>
        <w:t>veškerému</w:t>
      </w:r>
      <w:r>
        <w:rPr>
          <w:spacing w:val="-4"/>
          <w:sz w:val="20"/>
        </w:rPr>
        <w:t> </w:t>
      </w:r>
      <w:r>
        <w:rPr>
          <w:sz w:val="20"/>
        </w:rPr>
        <w:t>použití</w:t>
      </w:r>
      <w:r>
        <w:rPr>
          <w:spacing w:val="-4"/>
          <w:sz w:val="20"/>
        </w:rPr>
        <w:t> </w:t>
      </w:r>
      <w:r>
        <w:rPr>
          <w:sz w:val="20"/>
        </w:rPr>
        <w:t>nebo</w:t>
      </w:r>
      <w:r>
        <w:rPr>
          <w:spacing w:val="-4"/>
          <w:sz w:val="20"/>
        </w:rPr>
        <w:t> </w:t>
      </w:r>
      <w:r>
        <w:rPr>
          <w:sz w:val="20"/>
        </w:rPr>
        <w:t>reprodukci</w:t>
      </w:r>
      <w:r>
        <w:rPr>
          <w:spacing w:val="-4"/>
          <w:sz w:val="20"/>
        </w:rPr>
        <w:t> </w:t>
      </w:r>
      <w:r>
        <w:rPr>
          <w:sz w:val="20"/>
        </w:rPr>
        <w:t>prvků,</w:t>
      </w:r>
      <w:r>
        <w:rPr>
          <w:spacing w:val="-4"/>
          <w:sz w:val="20"/>
        </w:rPr>
        <w:t> </w:t>
      </w:r>
      <w:r>
        <w:rPr>
          <w:sz w:val="20"/>
        </w:rPr>
        <w:t>které</w:t>
      </w:r>
      <w:r>
        <w:rPr>
          <w:spacing w:val="-4"/>
          <w:sz w:val="20"/>
        </w:rPr>
        <w:t> </w:t>
      </w:r>
      <w:r>
        <w:rPr>
          <w:sz w:val="20"/>
        </w:rPr>
        <w:t>nejsou</w:t>
      </w:r>
      <w:r>
        <w:rPr>
          <w:spacing w:val="-4"/>
          <w:sz w:val="20"/>
        </w:rPr>
        <w:t> </w:t>
      </w:r>
      <w:r>
        <w:rPr>
          <w:sz w:val="20"/>
        </w:rPr>
        <w:t>ve</w:t>
      </w:r>
      <w:r>
        <w:rPr>
          <w:spacing w:val="-4"/>
          <w:sz w:val="20"/>
        </w:rPr>
        <w:t> </w:t>
      </w:r>
      <w:r>
        <w:rPr>
          <w:sz w:val="20"/>
        </w:rPr>
        <w:t>vlastnictví</w:t>
      </w:r>
      <w:r>
        <w:rPr>
          <w:spacing w:val="-4"/>
          <w:sz w:val="20"/>
        </w:rPr>
        <w:t> </w:t>
      </w:r>
      <w:r>
        <w:rPr>
          <w:sz w:val="20"/>
        </w:rPr>
        <w:t>Evropské</w:t>
      </w:r>
      <w:r>
        <w:rPr>
          <w:spacing w:val="-4"/>
          <w:sz w:val="20"/>
        </w:rPr>
        <w:t> </w:t>
      </w:r>
      <w:r>
        <w:rPr>
          <w:sz w:val="20"/>
        </w:rPr>
        <w:t>unie,</w:t>
      </w:r>
      <w:r>
        <w:rPr>
          <w:spacing w:val="-4"/>
          <w:sz w:val="20"/>
        </w:rPr>
        <w:t> </w:t>
      </w:r>
      <w:r>
        <w:rPr>
          <w:sz w:val="20"/>
        </w:rPr>
        <w:t>může</w:t>
      </w:r>
      <w:r>
        <w:rPr>
          <w:spacing w:val="-4"/>
          <w:sz w:val="20"/>
        </w:rPr>
        <w:t> </w:t>
      </w:r>
      <w:r>
        <w:rPr>
          <w:sz w:val="20"/>
        </w:rPr>
        <w:t>být</w:t>
      </w:r>
      <w:r>
        <w:rPr>
          <w:spacing w:val="-4"/>
          <w:sz w:val="20"/>
        </w:rPr>
        <w:t> </w:t>
      </w:r>
      <w:r>
        <w:rPr>
          <w:sz w:val="20"/>
        </w:rPr>
        <w:t>nutné</w:t>
      </w:r>
      <w:r>
        <w:rPr>
          <w:spacing w:val="-4"/>
          <w:sz w:val="20"/>
        </w:rPr>
        <w:t> </w:t>
      </w:r>
      <w:r>
        <w:rPr>
          <w:sz w:val="20"/>
        </w:rPr>
        <w:t>získat svolení přímo od příslušných nositelů práv.</w:t>
      </w:r>
    </w:p>
    <w:p>
      <w:pPr>
        <w:pStyle w:val="BodyText"/>
        <w:spacing w:before="127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294845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21621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0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120"/>
        </w:sectPr>
      </w:pPr>
    </w:p>
    <w:p>
      <w:pPr>
        <w:pStyle w:val="Heading1"/>
        <w:spacing w:before="76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pStyle w:val="BodyText"/>
        <w:spacing w:line="290" w:lineRule="auto" w:before="167"/>
        <w:ind w:left="443"/>
      </w:pPr>
      <w:r>
        <w:rPr/>
        <w:t>Po</w:t>
      </w:r>
      <w:r>
        <w:rPr>
          <w:spacing w:val="-4"/>
        </w:rPr>
        <w:t> </w:t>
      </w:r>
      <w:r>
        <w:rPr/>
        <w:t>celé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unii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nachází</w:t>
      </w:r>
      <w:r>
        <w:rPr>
          <w:spacing w:val="-4"/>
        </w:rPr>
        <w:t> </w:t>
      </w:r>
      <w:r>
        <w:rPr/>
        <w:t>stovky</w:t>
      </w:r>
      <w:r>
        <w:rPr>
          <w:spacing w:val="-4"/>
        </w:rPr>
        <w:t> </w:t>
      </w:r>
      <w:r>
        <w:rPr/>
        <w:t>středisek</w:t>
      </w:r>
      <w:r>
        <w:rPr>
          <w:spacing w:val="-4"/>
        </w:rPr>
        <w:t> </w:t>
      </w:r>
      <w:r>
        <w:rPr/>
        <w:t>Europe</w:t>
      </w:r>
      <w:r>
        <w:rPr>
          <w:spacing w:val="-4"/>
        </w:rPr>
        <w:t> </w:t>
      </w:r>
      <w:r>
        <w:rPr/>
        <w:t>Direct.</w:t>
      </w:r>
      <w:r>
        <w:rPr>
          <w:spacing w:val="-4"/>
        </w:rPr>
        <w:t> </w:t>
      </w:r>
      <w:r>
        <w:rPr/>
        <w:t>Adresu</w:t>
      </w:r>
      <w:r>
        <w:rPr>
          <w:spacing w:val="-4"/>
        </w:rPr>
        <w:t> </w:t>
      </w:r>
      <w:r>
        <w:rPr/>
        <w:t>nejbližšího</w:t>
      </w:r>
      <w:r>
        <w:rPr>
          <w:spacing w:val="-4"/>
        </w:rPr>
        <w:t> </w:t>
      </w:r>
      <w:r>
        <w:rPr/>
        <w:t>střediska naleznete online (</w:t>
      </w:r>
      <w:hyperlink r:id="rId7">
        <w:r>
          <w:rPr>
            <w:color w:val="337AB7"/>
            <w:u w:val="single" w:color="337AB7"/>
          </w:rPr>
          <w:t>european-union.europa.eu/contact-eu/meet-us_cs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pStyle w:val="BodyText"/>
        <w:spacing w:before="166"/>
        <w:ind w:left="443"/>
      </w:pPr>
      <w:r>
        <w:rPr/>
        <w:t>Europe</w:t>
      </w:r>
      <w:r>
        <w:rPr>
          <w:spacing w:val="-7"/>
        </w:rPr>
        <w:t> </w:t>
      </w:r>
      <w:r>
        <w:rPr/>
        <w:t>Direct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služba,</w:t>
      </w:r>
      <w:r>
        <w:rPr>
          <w:spacing w:val="-4"/>
        </w:rPr>
        <w:t> </w:t>
      </w:r>
      <w:r>
        <w:rPr/>
        <w:t>která</w:t>
      </w:r>
      <w:r>
        <w:rPr>
          <w:spacing w:val="-4"/>
        </w:rPr>
        <w:t> </w:t>
      </w:r>
      <w:r>
        <w:rPr/>
        <w:t>odpoví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vaše</w:t>
      </w:r>
      <w:r>
        <w:rPr>
          <w:spacing w:val="-4"/>
        </w:rPr>
        <w:t> </w:t>
      </w:r>
      <w:r>
        <w:rPr/>
        <w:t>dotazy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unii.</w:t>
      </w:r>
      <w:r>
        <w:rPr>
          <w:spacing w:val="-4"/>
        </w:rPr>
        <w:t> </w:t>
      </w:r>
      <w:r>
        <w:rPr/>
        <w:t>Můžete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ni</w:t>
      </w:r>
      <w:r>
        <w:rPr>
          <w:spacing w:val="-4"/>
        </w:rPr>
        <w:t> </w:t>
      </w:r>
      <w:r>
        <w:rPr>
          <w:spacing w:val="-2"/>
        </w:rPr>
        <w:t>obrátit: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67" w:after="0"/>
        <w:ind w:left="1163" w:right="249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5"/>
          <w:sz w:val="22"/>
        </w:rPr>
        <w:t> </w:t>
      </w:r>
      <w:r>
        <w:rPr>
          <w:sz w:val="22"/>
        </w:rPr>
        <w:t>bezplatné</w:t>
      </w:r>
      <w:r>
        <w:rPr>
          <w:spacing w:val="-5"/>
          <w:sz w:val="22"/>
        </w:rPr>
        <w:t> </w:t>
      </w:r>
      <w:r>
        <w:rPr>
          <w:sz w:val="22"/>
        </w:rPr>
        <w:t>telefonní</w:t>
      </w:r>
      <w:r>
        <w:rPr>
          <w:spacing w:val="-5"/>
          <w:sz w:val="22"/>
        </w:rPr>
        <w:t> </w:t>
      </w:r>
      <w:r>
        <w:rPr>
          <w:sz w:val="22"/>
        </w:rPr>
        <w:t>linky: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(někteří</w:t>
      </w:r>
      <w:r>
        <w:rPr>
          <w:spacing w:val="-5"/>
          <w:sz w:val="22"/>
        </w:rPr>
        <w:t> </w:t>
      </w:r>
      <w:r>
        <w:rPr>
          <w:sz w:val="22"/>
        </w:rPr>
        <w:t>operátoři</w:t>
      </w:r>
      <w:r>
        <w:rPr>
          <w:spacing w:val="-5"/>
          <w:sz w:val="22"/>
        </w:rPr>
        <w:t> </w:t>
      </w:r>
      <w:r>
        <w:rPr>
          <w:sz w:val="22"/>
        </w:rPr>
        <w:t>mohou tento hovor účtovat),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pStyle w:val="BodyText"/>
        <w:spacing w:line="290" w:lineRule="auto" w:before="166"/>
        <w:ind w:left="443"/>
      </w:pPr>
      <w:r>
        <w:rPr/>
        <w:t>Informace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unii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všech</w:t>
      </w:r>
      <w:r>
        <w:rPr>
          <w:spacing w:val="-4"/>
        </w:rPr>
        <w:t> </w:t>
      </w:r>
      <w:r>
        <w:rPr/>
        <w:t>úředních</w:t>
      </w:r>
      <w:r>
        <w:rPr>
          <w:spacing w:val="-4"/>
        </w:rPr>
        <w:t> </w:t>
      </w:r>
      <w:r>
        <w:rPr/>
        <w:t>jazycích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jsou</w:t>
      </w:r>
      <w:r>
        <w:rPr>
          <w:spacing w:val="-4"/>
        </w:rPr>
        <w:t> </w:t>
      </w:r>
      <w:r>
        <w:rPr/>
        <w:t>dostupné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internetových stránkách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BodyText"/>
        <w:spacing w:line="290" w:lineRule="auto" w:before="167"/>
        <w:ind w:left="443" w:right="523"/>
      </w:pPr>
      <w:r>
        <w:rPr/>
        <w:t>Publikace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si</w:t>
      </w:r>
      <w:r>
        <w:rPr>
          <w:spacing w:val="-5"/>
        </w:rPr>
        <w:t> </w:t>
      </w:r>
      <w:r>
        <w:rPr/>
        <w:t>můžete</w:t>
      </w:r>
      <w:r>
        <w:rPr>
          <w:spacing w:val="-5"/>
        </w:rPr>
        <w:t> </w:t>
      </w:r>
      <w:r>
        <w:rPr/>
        <w:t>prohlédnout</w:t>
      </w:r>
      <w:r>
        <w:rPr>
          <w:spacing w:val="-5"/>
        </w:rPr>
        <w:t> </w:t>
      </w:r>
      <w:r>
        <w:rPr/>
        <w:t>nebo</w:t>
      </w:r>
      <w:r>
        <w:rPr>
          <w:spacing w:val="-5"/>
        </w:rPr>
        <w:t> </w:t>
      </w:r>
      <w:r>
        <w:rPr/>
        <w:t>objednat</w:t>
      </w:r>
      <w:r>
        <w:rPr>
          <w:spacing w:val="-5"/>
        </w:rPr>
        <w:t> </w:t>
      </w:r>
      <w:r>
        <w:rPr/>
        <w:t>na</w:t>
      </w:r>
      <w:r>
        <w:rPr>
          <w:spacing w:val="-5"/>
        </w:rPr>
        <w:t> </w:t>
      </w:r>
      <w:r>
        <w:rPr/>
        <w:t>adrese</w:t>
      </w:r>
      <w:r>
        <w:rPr>
          <w:spacing w:val="-3"/>
        </w:rPr>
        <w:t> </w:t>
      </w:r>
      <w:hyperlink r:id="rId10">
        <w:r>
          <w:rPr>
            <w:color w:val="337AB7"/>
            <w:u w:val="single" w:color="337AB7"/>
          </w:rPr>
          <w:t>op.europa.eu/cs/publications</w:t>
        </w:r>
      </w:hyperlink>
      <w:r>
        <w:rPr>
          <w:u w:val="none"/>
        </w:rPr>
        <w:t>. Chcete-li obdržet více než jeden výtisk bezplatných publikací, obraťte se na službu Europe Direct nebo na místní dokumentační střediska (</w:t>
      </w:r>
      <w:hyperlink r:id="rId7">
        <w:r>
          <w:rPr>
            <w:color w:val="337AB7"/>
            <w:u w:val="single" w:color="337AB7"/>
          </w:rPr>
          <w:t>european-union.europa.eu/contact-eu/meet-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us_cs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pStyle w:val="BodyText"/>
        <w:spacing w:line="290" w:lineRule="auto" w:before="166"/>
        <w:ind w:left="443"/>
      </w:pPr>
      <w:r>
        <w:rPr/>
        <w:t>Právní</w:t>
      </w:r>
      <w:r>
        <w:rPr>
          <w:spacing w:val="-4"/>
        </w:rPr>
        <w:t> </w:t>
      </w:r>
      <w:r>
        <w:rPr/>
        <w:t>informace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včetně</w:t>
      </w:r>
      <w:r>
        <w:rPr>
          <w:spacing w:val="-4"/>
        </w:rPr>
        <w:t> </w:t>
      </w:r>
      <w:r>
        <w:rPr/>
        <w:t>všech</w:t>
      </w:r>
      <w:r>
        <w:rPr>
          <w:spacing w:val="-4"/>
        </w:rPr>
        <w:t> </w:t>
      </w:r>
      <w:r>
        <w:rPr/>
        <w:t>právních</w:t>
      </w:r>
      <w:r>
        <w:rPr>
          <w:spacing w:val="-4"/>
        </w:rPr>
        <w:t> </w:t>
      </w:r>
      <w:r>
        <w:rPr/>
        <w:t>předpisů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roku</w:t>
      </w:r>
      <w:r>
        <w:rPr>
          <w:spacing w:val="-4"/>
        </w:rPr>
        <w:t> </w:t>
      </w:r>
      <w:r>
        <w:rPr/>
        <w:t>1951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všech</w:t>
      </w:r>
      <w:r>
        <w:rPr>
          <w:spacing w:val="-4"/>
        </w:rPr>
        <w:t> </w:t>
      </w:r>
      <w:r>
        <w:rPr/>
        <w:t>úředních jazykových verzích jsou dostupné na stránkách EUR-Lex 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pStyle w:val="BodyText"/>
        <w:spacing w:line="290" w:lineRule="auto" w:before="167"/>
        <w:ind w:left="443"/>
      </w:pPr>
      <w:r>
        <w:rPr/>
        <w:t>Portál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u w:val="none"/>
        </w:rPr>
        <w:t> </w:t>
      </w:r>
      <w:r>
        <w:rPr>
          <w:u w:val="none"/>
        </w:rPr>
        <w:t>poskytuje volný přístup k datovým souborům orgánů, institucí a jiných subjektů</w:t>
      </w:r>
      <w:r>
        <w:rPr>
          <w:spacing w:val="-5"/>
          <w:u w:val="none"/>
        </w:rPr>
        <w:t> </w:t>
      </w:r>
      <w:r>
        <w:rPr>
          <w:u w:val="none"/>
        </w:rPr>
        <w:t>EU.</w:t>
      </w:r>
      <w:r>
        <w:rPr>
          <w:spacing w:val="-5"/>
          <w:u w:val="none"/>
        </w:rPr>
        <w:t> </w:t>
      </w:r>
      <w:r>
        <w:rPr>
          <w:u w:val="none"/>
        </w:rPr>
        <w:t>Data</w:t>
      </w:r>
      <w:r>
        <w:rPr>
          <w:spacing w:val="-5"/>
          <w:u w:val="none"/>
        </w:rPr>
        <w:t> </w:t>
      </w:r>
      <w:r>
        <w:rPr>
          <w:u w:val="none"/>
        </w:rPr>
        <w:t>lze</w:t>
      </w:r>
      <w:r>
        <w:rPr>
          <w:spacing w:val="-5"/>
          <w:u w:val="none"/>
        </w:rPr>
        <w:t> </w:t>
      </w:r>
      <w:r>
        <w:rPr>
          <w:u w:val="none"/>
        </w:rPr>
        <w:t>zdarma</w:t>
      </w:r>
      <w:r>
        <w:rPr>
          <w:spacing w:val="-5"/>
          <w:u w:val="none"/>
        </w:rPr>
        <w:t> </w:t>
      </w:r>
      <w:r>
        <w:rPr>
          <w:u w:val="none"/>
        </w:rPr>
        <w:t>stáhnout</w:t>
      </w:r>
      <w:r>
        <w:rPr>
          <w:spacing w:val="-5"/>
          <w:u w:val="none"/>
        </w:rPr>
        <w:t> </w:t>
      </w:r>
      <w:r>
        <w:rPr>
          <w:u w:val="none"/>
        </w:rPr>
        <w:t>a</w:t>
      </w:r>
      <w:r>
        <w:rPr>
          <w:spacing w:val="-5"/>
          <w:u w:val="none"/>
        </w:rPr>
        <w:t> </w:t>
      </w:r>
      <w:r>
        <w:rPr>
          <w:u w:val="none"/>
        </w:rPr>
        <w:t>opakovaně</w:t>
      </w:r>
      <w:r>
        <w:rPr>
          <w:spacing w:val="-5"/>
          <w:u w:val="none"/>
        </w:rPr>
        <w:t> </w:t>
      </w:r>
      <w:r>
        <w:rPr>
          <w:u w:val="none"/>
        </w:rPr>
        <w:t>použít</w:t>
      </w:r>
      <w:r>
        <w:rPr>
          <w:spacing w:val="-5"/>
          <w:u w:val="none"/>
        </w:rPr>
        <w:t> </w:t>
      </w:r>
      <w:r>
        <w:rPr>
          <w:u w:val="none"/>
        </w:rPr>
        <w:t>pro</w:t>
      </w:r>
      <w:r>
        <w:rPr>
          <w:spacing w:val="-5"/>
          <w:u w:val="none"/>
        </w:rPr>
        <w:t> </w:t>
      </w:r>
      <w:r>
        <w:rPr>
          <w:u w:val="none"/>
        </w:rPr>
        <w:t>komerční</w:t>
      </w:r>
      <w:r>
        <w:rPr>
          <w:spacing w:val="-5"/>
          <w:u w:val="none"/>
        </w:rPr>
        <w:t> </w:t>
      </w:r>
      <w:r>
        <w:rPr>
          <w:u w:val="none"/>
        </w:rPr>
        <w:t>i</w:t>
      </w:r>
      <w:r>
        <w:rPr>
          <w:spacing w:val="-5"/>
          <w:u w:val="none"/>
        </w:rPr>
        <w:t> </w:t>
      </w:r>
      <w:r>
        <w:rPr>
          <w:u w:val="none"/>
        </w:rPr>
        <w:t>nekomerční</w:t>
      </w:r>
      <w:r>
        <w:rPr>
          <w:spacing w:val="-5"/>
          <w:u w:val="none"/>
        </w:rPr>
        <w:t> </w:t>
      </w:r>
      <w:r>
        <w:rPr>
          <w:u w:val="none"/>
        </w:rPr>
        <w:t>účely. Portál rovněž poskytuje přístup k velkému množství datových souborů z evropských zemí.</w:t>
      </w:r>
    </w:p>
    <w:sectPr>
      <w:pgSz w:w="11910" w:h="16840"/>
      <w:pgMar w:top="880" w:bottom="280" w:left="8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2036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913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790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667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44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421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98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75" w:hanging="4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84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689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94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99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404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309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214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119" w:hanging="380"/>
      </w:pPr>
      <w:rPr>
        <w:rFonts w:hint="default"/>
        <w:lang w:val="cs-CZ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cs" TargetMode="External"/><Relationship Id="rId8" Type="http://schemas.openxmlformats.org/officeDocument/2006/relationships/hyperlink" Target="https://european-union.europa.eu/contact-eu/write-us_cs" TargetMode="External"/><Relationship Id="rId9" Type="http://schemas.openxmlformats.org/officeDocument/2006/relationships/hyperlink" Target="https://european-union.europa.eu/index_cs" TargetMode="External"/><Relationship Id="rId10" Type="http://schemas.openxmlformats.org/officeDocument/2006/relationships/hyperlink" Target="https://op.europa.eu/c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cs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CS</dc:title>
  <dcterms:created xsi:type="dcterms:W3CDTF">2025-01-15T12:16:18Z</dcterms:created>
  <dcterms:modified xsi:type="dcterms:W3CDTF">2025-01-15T12:16:18Z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