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HU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Kézirat</w:t>
      </w:r>
      <w:r>
        <w:rPr>
          <w:spacing w:val="-9"/>
          <w:sz w:val="20"/>
        </w:rPr>
        <w:t> </w:t>
      </w:r>
      <w:r>
        <w:rPr>
          <w:sz w:val="20"/>
        </w:rPr>
        <w:t>lezárva:</w:t>
      </w:r>
      <w:r>
        <w:rPr>
          <w:spacing w:val="-7"/>
          <w:sz w:val="20"/>
        </w:rPr>
        <w:t> </w:t>
      </w:r>
      <w:r>
        <w:rPr>
          <w:sz w:val="20"/>
        </w:rPr>
        <w:t>[év].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[hónap]</w:t>
      </w:r>
    </w:p>
    <w:p>
      <w:pPr>
        <w:spacing w:line="560" w:lineRule="atLeast" w:before="0"/>
        <w:ind w:left="160" w:right="4087" w:firstLine="0"/>
        <w:jc w:val="left"/>
        <w:rPr>
          <w:sz w:val="20"/>
        </w:rPr>
      </w:pPr>
      <w:r>
        <w:rPr>
          <w:sz w:val="20"/>
        </w:rPr>
        <w:t>Felülvizsgált</w:t>
      </w:r>
      <w:r>
        <w:rPr>
          <w:spacing w:val="-6"/>
          <w:sz w:val="20"/>
        </w:rPr>
        <w:t> </w:t>
      </w:r>
      <w:r>
        <w:rPr>
          <w:sz w:val="20"/>
        </w:rPr>
        <w:t>kiadás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spacing w:val="-6"/>
          <w:sz w:val="20"/>
        </w:rPr>
        <w:t> </w:t>
      </w:r>
      <w:r>
        <w:rPr>
          <w:sz w:val="20"/>
        </w:rPr>
        <w:t>Javított</w:t>
      </w:r>
      <w:r>
        <w:rPr>
          <w:spacing w:val="-6"/>
          <w:sz w:val="20"/>
        </w:rPr>
        <w:t> </w:t>
      </w:r>
      <w:r>
        <w:rPr>
          <w:sz w:val="20"/>
        </w:rPr>
        <w:t>kiadás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6"/>
          <w:sz w:val="20"/>
        </w:rPr>
        <w:t> </w:t>
      </w:r>
      <w:r>
        <w:rPr>
          <w:i/>
          <w:sz w:val="20"/>
        </w:rPr>
        <w:t>n.</w:t>
      </w:r>
      <w:r>
        <w:rPr>
          <w:i/>
          <w:spacing w:val="-6"/>
          <w:sz w:val="20"/>
        </w:rPr>
        <w:t> </w:t>
      </w:r>
      <w:r>
        <w:rPr>
          <w:sz w:val="20"/>
        </w:rPr>
        <w:t>kiadás”</w:t>
      </w:r>
      <w:r>
        <w:rPr>
          <w:spacing w:val="-6"/>
          <w:sz w:val="20"/>
        </w:rPr>
        <w:t> </w:t>
      </w:r>
      <w:r>
        <w:rPr>
          <w:sz w:val="20"/>
        </w:rPr>
        <w:t>kifejezések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583" w:lineRule="auto" w:before="100"/>
        <w:ind w:left="160" w:right="867" w:firstLine="0"/>
        <w:jc w:val="left"/>
        <w:rPr>
          <w:sz w:val="20"/>
        </w:rPr>
      </w:pPr>
      <w:r>
        <w:rPr>
          <w:sz w:val="20"/>
        </w:rPr>
        <w:t>E</w:t>
      </w:r>
      <w:r>
        <w:rPr>
          <w:spacing w:val="-7"/>
          <w:sz w:val="20"/>
        </w:rPr>
        <w:t> </w:t>
      </w:r>
      <w:r>
        <w:rPr>
          <w:sz w:val="20"/>
        </w:rPr>
        <w:t>dokumentum</w:t>
      </w:r>
      <w:r>
        <w:rPr>
          <w:spacing w:val="-7"/>
          <w:sz w:val="20"/>
        </w:rPr>
        <w:t> </w:t>
      </w:r>
      <w:r>
        <w:rPr>
          <w:sz w:val="20"/>
        </w:rPr>
        <w:t>nem</w:t>
      </w:r>
      <w:r>
        <w:rPr>
          <w:spacing w:val="-7"/>
          <w:sz w:val="20"/>
        </w:rPr>
        <w:t> </w:t>
      </w:r>
      <w:r>
        <w:rPr>
          <w:sz w:val="20"/>
        </w:rPr>
        <w:t>tekinthető</w:t>
      </w:r>
      <w:r>
        <w:rPr>
          <w:spacing w:val="-7"/>
          <w:sz w:val="20"/>
        </w:rPr>
        <w:t> </w:t>
      </w:r>
      <w:r>
        <w:rPr>
          <w:sz w:val="20"/>
        </w:rPr>
        <w:t>a(z)</w:t>
      </w:r>
      <w:r>
        <w:rPr>
          <w:spacing w:val="-7"/>
          <w:sz w:val="20"/>
        </w:rPr>
        <w:t> </w:t>
      </w:r>
      <w:r>
        <w:rPr>
          <w:sz w:val="20"/>
        </w:rPr>
        <w:t>[intézmény/szerv/szolgálat]</w:t>
      </w:r>
      <w:r>
        <w:rPr>
          <w:spacing w:val="-7"/>
          <w:sz w:val="20"/>
        </w:rPr>
        <w:t> </w:t>
      </w:r>
      <w:r>
        <w:rPr>
          <w:sz w:val="20"/>
        </w:rPr>
        <w:t>hivatalos</w:t>
      </w:r>
      <w:r>
        <w:rPr>
          <w:spacing w:val="-7"/>
          <w:sz w:val="20"/>
        </w:rPr>
        <w:t> </w:t>
      </w:r>
      <w:r>
        <w:rPr>
          <w:sz w:val="20"/>
        </w:rPr>
        <w:t>álláspontjának. Luxembourg: Az Európai Unió Kiadóhivatala, [évszám]</w:t>
      </w:r>
    </w:p>
    <w:p>
      <w:pPr>
        <w:spacing w:line="228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Európai</w:t>
      </w:r>
      <w:r>
        <w:rPr>
          <w:spacing w:val="-4"/>
          <w:sz w:val="20"/>
        </w:rPr>
        <w:t> </w:t>
      </w:r>
      <w:r>
        <w:rPr>
          <w:sz w:val="20"/>
        </w:rPr>
        <w:t>Unió,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[évszám]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többszörözés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forrás</w:t>
      </w:r>
      <w:r>
        <w:rPr>
          <w:spacing w:val="-4"/>
          <w:sz w:val="20"/>
        </w:rPr>
        <w:t> </w:t>
      </w:r>
      <w:r>
        <w:rPr>
          <w:sz w:val="20"/>
        </w:rPr>
        <w:t>feltüntetésével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engedélyezett.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95" w:firstLine="0"/>
        <w:jc w:val="left"/>
        <w:rPr>
          <w:sz w:val="20"/>
        </w:rPr>
      </w:pPr>
      <w:r>
        <w:rPr>
          <w:sz w:val="20"/>
        </w:rPr>
        <w:t>A nem az Európai Unió tulajdonában lévő elemek felhasználása vagy sokszorosítása érdekében közvetlenül a</w:t>
      </w:r>
      <w:r>
        <w:rPr>
          <w:spacing w:val="-4"/>
          <w:sz w:val="20"/>
        </w:rPr>
        <w:t> </w:t>
      </w:r>
      <w:r>
        <w:rPr>
          <w:sz w:val="20"/>
        </w:rPr>
        <w:t>szerzői</w:t>
      </w:r>
      <w:r>
        <w:rPr>
          <w:spacing w:val="-4"/>
          <w:sz w:val="20"/>
        </w:rPr>
        <w:t> </w:t>
      </w:r>
      <w:r>
        <w:rPr>
          <w:sz w:val="20"/>
        </w:rPr>
        <w:t>jog</w:t>
      </w:r>
      <w:r>
        <w:rPr>
          <w:spacing w:val="-4"/>
          <w:sz w:val="20"/>
        </w:rPr>
        <w:t> </w:t>
      </w:r>
      <w:r>
        <w:rPr>
          <w:sz w:val="20"/>
        </w:rPr>
        <w:t>tulajdonosához</w:t>
      </w:r>
      <w:r>
        <w:rPr>
          <w:spacing w:val="-4"/>
          <w:sz w:val="20"/>
        </w:rPr>
        <w:t> </w:t>
      </w:r>
      <w:r>
        <w:rPr>
          <w:sz w:val="20"/>
        </w:rPr>
        <w:t>kell</w:t>
      </w:r>
      <w:r>
        <w:rPr>
          <w:spacing w:val="-4"/>
          <w:sz w:val="20"/>
        </w:rPr>
        <w:t> </w:t>
      </w:r>
      <w:r>
        <w:rPr>
          <w:sz w:val="20"/>
        </w:rPr>
        <w:t>engedélyért</w:t>
      </w:r>
      <w:r>
        <w:rPr>
          <w:spacing w:val="-4"/>
          <w:sz w:val="20"/>
        </w:rPr>
        <w:t> </w:t>
      </w:r>
      <w:r>
        <w:rPr>
          <w:sz w:val="20"/>
        </w:rPr>
        <w:t>fordulni.</w:t>
      </w:r>
      <w:r>
        <w:rPr>
          <w:spacing w:val="-2"/>
          <w:sz w:val="20"/>
        </w:rPr>
        <w:t> </w:t>
      </w:r>
      <w:r>
        <w:rPr>
          <w:sz w:val="20"/>
        </w:rPr>
        <w:t>Az</w:t>
      </w:r>
      <w:r>
        <w:rPr>
          <w:spacing w:val="-4"/>
          <w:sz w:val="20"/>
        </w:rPr>
        <w:t> </w:t>
      </w:r>
      <w:r>
        <w:rPr>
          <w:sz w:val="20"/>
        </w:rPr>
        <w:t>Európai</w:t>
      </w:r>
      <w:r>
        <w:rPr>
          <w:spacing w:val="-4"/>
          <w:sz w:val="20"/>
        </w:rPr>
        <w:t> </w:t>
      </w:r>
      <w:r>
        <w:rPr>
          <w:sz w:val="20"/>
        </w:rPr>
        <w:t>Unió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következő</w:t>
      </w:r>
      <w:r>
        <w:rPr>
          <w:spacing w:val="-4"/>
          <w:sz w:val="20"/>
        </w:rPr>
        <w:t> </w:t>
      </w:r>
      <w:r>
        <w:rPr>
          <w:sz w:val="20"/>
        </w:rPr>
        <w:t>elemek</w:t>
      </w:r>
      <w:r>
        <w:rPr>
          <w:spacing w:val="-4"/>
          <w:sz w:val="20"/>
        </w:rPr>
        <w:t> </w:t>
      </w:r>
      <w:r>
        <w:rPr>
          <w:sz w:val="20"/>
        </w:rPr>
        <w:t>tekintetében</w:t>
      </w:r>
      <w:r>
        <w:rPr>
          <w:spacing w:val="-4"/>
          <w:sz w:val="20"/>
        </w:rPr>
        <w:t> </w:t>
      </w:r>
      <w:r>
        <w:rPr>
          <w:sz w:val="20"/>
        </w:rPr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57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 mutató link];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14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nem</w:t>
      </w:r>
      <w:r>
        <w:rPr>
          <w:spacing w:val="-4"/>
          <w:sz w:val="20"/>
        </w:rPr>
        <w:t> </w:t>
      </w:r>
      <w:r>
        <w:rPr>
          <w:sz w:val="20"/>
        </w:rPr>
        <w:t>az</w:t>
      </w:r>
      <w:r>
        <w:rPr>
          <w:spacing w:val="-4"/>
          <w:sz w:val="20"/>
        </w:rPr>
        <w:t> </w:t>
      </w:r>
      <w:r>
        <w:rPr>
          <w:sz w:val="20"/>
        </w:rPr>
        <w:t>Európai</w:t>
      </w:r>
      <w:r>
        <w:rPr>
          <w:spacing w:val="-4"/>
          <w:sz w:val="20"/>
        </w:rPr>
        <w:t> </w:t>
      </w:r>
      <w:r>
        <w:rPr>
          <w:sz w:val="20"/>
        </w:rPr>
        <w:t>Unió</w:t>
      </w:r>
      <w:r>
        <w:rPr>
          <w:spacing w:val="-4"/>
          <w:sz w:val="20"/>
        </w:rPr>
        <w:t> </w:t>
      </w:r>
      <w:r>
        <w:rPr>
          <w:sz w:val="20"/>
        </w:rPr>
        <w:t>tulajdonában</w:t>
      </w:r>
      <w:r>
        <w:rPr>
          <w:spacing w:val="-4"/>
          <w:sz w:val="20"/>
        </w:rPr>
        <w:t> </w:t>
      </w:r>
      <w:r>
        <w:rPr>
          <w:sz w:val="20"/>
        </w:rPr>
        <w:t>lévő</w:t>
      </w:r>
      <w:r>
        <w:rPr>
          <w:spacing w:val="-4"/>
          <w:sz w:val="20"/>
        </w:rPr>
        <w:t> </w:t>
      </w:r>
      <w:r>
        <w:rPr>
          <w:sz w:val="20"/>
        </w:rPr>
        <w:t>elemek</w:t>
      </w:r>
      <w:r>
        <w:rPr>
          <w:spacing w:val="-4"/>
          <w:sz w:val="20"/>
        </w:rPr>
        <w:t> </w:t>
      </w:r>
      <w:r>
        <w:rPr>
          <w:sz w:val="20"/>
        </w:rPr>
        <w:t>felhasználása</w:t>
      </w:r>
      <w:r>
        <w:rPr>
          <w:spacing w:val="-4"/>
          <w:sz w:val="20"/>
        </w:rPr>
        <w:t> </w:t>
      </w:r>
      <w:r>
        <w:rPr>
          <w:sz w:val="20"/>
        </w:rPr>
        <w:t>vagy</w:t>
      </w:r>
      <w:r>
        <w:rPr>
          <w:spacing w:val="-4"/>
          <w:sz w:val="20"/>
        </w:rPr>
        <w:t> </w:t>
      </w:r>
      <w:r>
        <w:rPr>
          <w:sz w:val="20"/>
        </w:rPr>
        <w:t>sokszorosítása</w:t>
      </w:r>
      <w:r>
        <w:rPr>
          <w:spacing w:val="-4"/>
          <w:sz w:val="20"/>
        </w:rPr>
        <w:t> </w:t>
      </w:r>
      <w:r>
        <w:rPr>
          <w:sz w:val="20"/>
        </w:rPr>
        <w:t>érdekében</w:t>
      </w:r>
      <w:r>
        <w:rPr>
          <w:spacing w:val="-4"/>
          <w:sz w:val="20"/>
        </w:rPr>
        <w:t> </w:t>
      </w:r>
      <w:r>
        <w:rPr>
          <w:sz w:val="20"/>
        </w:rPr>
        <w:t>közvetlenül a szerzői jog tulajdonosához kell engedélyért fordulni.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120"/>
        </w:sectPr>
      </w:pPr>
    </w:p>
    <w:p>
      <w:pPr>
        <w:pStyle w:val="Heading1"/>
        <w:spacing w:before="76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pStyle w:val="BodyText"/>
        <w:spacing w:line="290" w:lineRule="auto" w:before="167"/>
        <w:ind w:left="443" w:right="669"/>
      </w:pP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területén</w:t>
      </w:r>
      <w:r>
        <w:rPr>
          <w:spacing w:val="-4"/>
        </w:rPr>
        <w:t> </w:t>
      </w:r>
      <w:r>
        <w:rPr/>
        <w:t>több</w:t>
      </w:r>
      <w:r>
        <w:rPr>
          <w:spacing w:val="-4"/>
        </w:rPr>
        <w:t> </w:t>
      </w: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központ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működik.</w:t>
      </w:r>
      <w:r>
        <w:rPr>
          <w:spacing w:val="-4"/>
        </w:rPr>
        <w:t> </w:t>
      </w:r>
      <w:r>
        <w:rPr/>
        <w:t>Keresse</w:t>
      </w:r>
      <w:r>
        <w:rPr>
          <w:spacing w:val="-4"/>
        </w:rPr>
        <w:t> </w:t>
      </w:r>
      <w:r>
        <w:rPr/>
        <w:t>meg</w:t>
      </w:r>
      <w:r>
        <w:rPr>
          <w:spacing w:val="-4"/>
        </w:rPr>
        <w:t> </w:t>
      </w:r>
      <w:r>
        <w:rPr/>
        <w:t>online</w:t>
      </w:r>
      <w:r>
        <w:rPr>
          <w:spacing w:val="-4"/>
        </w:rPr>
        <w:t> </w:t>
      </w:r>
      <w:r>
        <w:rPr/>
        <w:t>az Önhöz legközelebb eső központot (</w:t>
      </w:r>
      <w:hyperlink r:id="rId7">
        <w:r>
          <w:rPr>
            <w:color w:val="337AB7"/>
            <w:u w:val="single" w:color="337AB7"/>
          </w:rPr>
          <w:t>european-union.europa.eu/contact-eu/meet-us_hu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pStyle w:val="BodyText"/>
        <w:spacing w:line="290" w:lineRule="auto" w:before="166"/>
        <w:ind w:left="443" w:right="867"/>
      </w:pPr>
      <w:r>
        <w:rPr/>
        <w:t>A</w:t>
      </w:r>
      <w:r>
        <w:rPr>
          <w:spacing w:val="-5"/>
        </w:rPr>
        <w:t> </w:t>
      </w:r>
      <w:r>
        <w:rPr/>
        <w:t>Europe</w:t>
      </w:r>
      <w:r>
        <w:rPr>
          <w:spacing w:val="-5"/>
        </w:rPr>
        <w:t> </w:t>
      </w:r>
      <w:r>
        <w:rPr/>
        <w:t>Direct</w:t>
      </w:r>
      <w:r>
        <w:rPr>
          <w:spacing w:val="-5"/>
        </w:rPr>
        <w:t> </w:t>
      </w:r>
      <w:r>
        <w:rPr/>
        <w:t>központok</w:t>
      </w:r>
      <w:r>
        <w:rPr>
          <w:spacing w:val="-5"/>
        </w:rPr>
        <w:t> </w:t>
      </w:r>
      <w:r>
        <w:rPr/>
        <w:t>feladata,</w:t>
      </w:r>
      <w:r>
        <w:rPr>
          <w:spacing w:val="-5"/>
        </w:rPr>
        <w:t> </w:t>
      </w:r>
      <w:r>
        <w:rPr/>
        <w:t>hogy</w:t>
      </w:r>
      <w:r>
        <w:rPr>
          <w:spacing w:val="-5"/>
        </w:rPr>
        <w:t> </w:t>
      </w:r>
      <w:r>
        <w:rPr/>
        <w:t>megválaszolják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polgárok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Unióval kapcsolatos kérdéseit. Vegye igénybe a szolgáltatást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724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53" w:after="0"/>
        <w:ind w:left="1163" w:right="766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10"/>
          <w:sz w:val="22"/>
        </w:rPr>
        <w:t> </w:t>
      </w:r>
      <w:r>
        <w:rPr>
          <w:sz w:val="22"/>
        </w:rPr>
        <w:t>alábbi</w:t>
      </w:r>
      <w:r>
        <w:rPr>
          <w:spacing w:val="-10"/>
          <w:sz w:val="22"/>
        </w:rPr>
        <w:t> </w:t>
      </w:r>
      <w:r>
        <w:rPr>
          <w:sz w:val="22"/>
        </w:rPr>
        <w:t>nyomtatvány</w:t>
      </w:r>
      <w:r>
        <w:rPr>
          <w:spacing w:val="-10"/>
          <w:sz w:val="22"/>
        </w:rPr>
        <w:t> </w:t>
      </w:r>
      <w:r>
        <w:rPr>
          <w:sz w:val="22"/>
        </w:rPr>
        <w:t>használatával:</w:t>
      </w:r>
      <w:r>
        <w:rPr>
          <w:spacing w:val="-9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pStyle w:val="BodyText"/>
        <w:spacing w:line="290" w:lineRule="auto" w:before="167"/>
        <w:ind w:left="443" w:right="358"/>
      </w:pPr>
      <w:r>
        <w:rPr/>
        <w:t>Az</w:t>
      </w:r>
      <w:r>
        <w:rPr>
          <w:spacing w:val="-5"/>
        </w:rPr>
        <w:t> </w:t>
      </w:r>
      <w:r>
        <w:rPr/>
        <w:t>EUROPA</w:t>
      </w:r>
      <w:r>
        <w:rPr>
          <w:spacing w:val="-5"/>
        </w:rPr>
        <w:t> </w:t>
      </w:r>
      <w:r>
        <w:rPr/>
        <w:t>portál</w:t>
      </w:r>
      <w:r>
        <w:rPr>
          <w:spacing w:val="-5"/>
        </w:rPr>
        <w:t> </w:t>
      </w:r>
      <w:r>
        <w:rPr/>
        <w:t>tájékoztatással</w:t>
      </w:r>
      <w:r>
        <w:rPr>
          <w:spacing w:val="-5"/>
        </w:rPr>
        <w:t> </w:t>
      </w:r>
      <w:r>
        <w:rPr/>
        <w:t>szolgál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Unióról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összes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nyelvén </w:t>
      </w:r>
      <w:r>
        <w:rPr>
          <w:spacing w:val="-2"/>
        </w:rPr>
        <w:t>(</w:t>
      </w:r>
      <w:hyperlink r:id="rId9">
        <w:r>
          <w:rPr>
            <w:color w:val="337AB7"/>
            <w:spacing w:val="-2"/>
            <w:u w:val="single" w:color="337AB7"/>
          </w:rPr>
          <w:t>european-union.europa.eu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pStyle w:val="BodyText"/>
        <w:spacing w:line="290" w:lineRule="auto" w:before="166"/>
        <w:ind w:left="443" w:right="475"/>
      </w:pPr>
      <w:r>
        <w:rPr/>
        <w:t>Az</w:t>
      </w:r>
      <w:r>
        <w:rPr>
          <w:spacing w:val="-6"/>
        </w:rPr>
        <w:t> </w:t>
      </w:r>
      <w:hyperlink r:id="rId10">
        <w:r>
          <w:rPr>
            <w:color w:val="337AB7"/>
            <w:u w:val="single" w:color="337AB7"/>
          </w:rPr>
          <w:t>op.europa.eu/hu/publications</w:t>
        </w:r>
      </w:hyperlink>
      <w:r>
        <w:rPr>
          <w:u w:val="none"/>
        </w:rPr>
        <w:t>címen</w:t>
      </w:r>
      <w:r>
        <w:rPr>
          <w:spacing w:val="-6"/>
          <w:u w:val="none"/>
        </w:rPr>
        <w:t> </w:t>
      </w:r>
      <w:r>
        <w:rPr>
          <w:u w:val="none"/>
        </w:rPr>
        <w:t>uniós</w:t>
      </w:r>
      <w:r>
        <w:rPr>
          <w:spacing w:val="-6"/>
          <w:u w:val="none"/>
        </w:rPr>
        <w:t> </w:t>
      </w:r>
      <w:r>
        <w:rPr>
          <w:u w:val="none"/>
        </w:rPr>
        <w:t>kiadványok</w:t>
      </w:r>
      <w:r>
        <w:rPr>
          <w:spacing w:val="-6"/>
          <w:u w:val="none"/>
        </w:rPr>
        <w:t> </w:t>
      </w:r>
      <w:r>
        <w:rPr>
          <w:u w:val="none"/>
        </w:rPr>
        <w:t>tekinthetők</w:t>
      </w:r>
      <w:r>
        <w:rPr>
          <w:spacing w:val="-6"/>
          <w:u w:val="none"/>
        </w:rPr>
        <w:t> </w:t>
      </w:r>
      <w:r>
        <w:rPr>
          <w:u w:val="none"/>
        </w:rPr>
        <w:t>meg</w:t>
      </w:r>
      <w:r>
        <w:rPr>
          <w:spacing w:val="-6"/>
          <w:u w:val="none"/>
        </w:rPr>
        <w:t> </w:t>
      </w:r>
      <w:r>
        <w:rPr>
          <w:u w:val="none"/>
        </w:rPr>
        <w:t>és</w:t>
      </w:r>
      <w:r>
        <w:rPr>
          <w:spacing w:val="-6"/>
          <w:u w:val="none"/>
        </w:rPr>
        <w:t> </w:t>
      </w:r>
      <w:r>
        <w:rPr>
          <w:u w:val="none"/>
        </w:rPr>
        <w:t>rendelhetők.</w:t>
      </w:r>
      <w:r>
        <w:rPr>
          <w:spacing w:val="-6"/>
          <w:u w:val="none"/>
        </w:rPr>
        <w:t> </w:t>
      </w:r>
      <w:r>
        <w:rPr>
          <w:u w:val="none"/>
        </w:rPr>
        <w:t>Ha bizonyos ingyenes kiadványokból több példányra van szüksége, rendeljen a Europe Direct központtól vagy hazájának helyi dokumentációs központjától (</w:t>
      </w:r>
      <w:hyperlink r:id="rId7">
        <w:r>
          <w:rPr>
            <w:color w:val="337AB7"/>
            <w:u w:val="single" w:color="337AB7"/>
          </w:rPr>
          <w:t>european-union.europa.eu/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contact-eu/meet-us_hu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pStyle w:val="BodyText"/>
        <w:spacing w:line="290" w:lineRule="auto" w:before="167"/>
        <w:ind w:left="443" w:right="669"/>
      </w:pPr>
      <w:r>
        <w:rPr/>
        <w:t>Az</w:t>
      </w:r>
      <w:r>
        <w:rPr>
          <w:spacing w:val="-4"/>
        </w:rPr>
        <w:t> </w:t>
      </w:r>
      <w:r>
        <w:rPr/>
        <w:t>EUR-Lex</w:t>
      </w:r>
      <w:r>
        <w:rPr>
          <w:spacing w:val="-4"/>
        </w:rPr>
        <w:t> </w:t>
      </w:r>
      <w:r>
        <w:rPr/>
        <w:t>portálon</w:t>
      </w:r>
      <w:r>
        <w:rPr>
          <w:spacing w:val="-4"/>
        </w:rPr>
        <w:t> </w:t>
      </w:r>
      <w:r>
        <w:rPr/>
        <w:t>bármelyik</w:t>
      </w:r>
      <w:r>
        <w:rPr>
          <w:spacing w:val="-4"/>
        </w:rPr>
        <w:t> </w:t>
      </w:r>
      <w:r>
        <w:rPr/>
        <w:t>hivatalos</w:t>
      </w:r>
      <w:r>
        <w:rPr>
          <w:spacing w:val="-4"/>
        </w:rPr>
        <w:t> </w:t>
      </w:r>
      <w:r>
        <w:rPr/>
        <w:t>nyelven</w:t>
      </w:r>
      <w:r>
        <w:rPr>
          <w:spacing w:val="-4"/>
        </w:rPr>
        <w:t> </w:t>
      </w:r>
      <w:r>
        <w:rPr/>
        <w:t>hozzáférhetők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jogi</w:t>
      </w:r>
      <w:r>
        <w:rPr>
          <w:spacing w:val="-4"/>
        </w:rPr>
        <w:t> </w:t>
      </w:r>
      <w:r>
        <w:rPr/>
        <w:t>tartalmai</w:t>
      </w:r>
      <w:r>
        <w:rPr>
          <w:spacing w:val="-4"/>
        </w:rPr>
        <w:t> </w:t>
      </w:r>
      <w:r>
        <w:rPr/>
        <w:t>és</w:t>
      </w:r>
      <w:r>
        <w:rPr>
          <w:spacing w:val="-4"/>
        </w:rPr>
        <w:t> </w:t>
      </w:r>
      <w:r>
        <w:rPr/>
        <w:t>az 1951-től megjelenő jogszabályai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pStyle w:val="BodyText"/>
        <w:spacing w:line="290" w:lineRule="auto" w:before="166"/>
        <w:ind w:left="443" w:right="143"/>
      </w:pPr>
      <w:r>
        <w:rPr/>
        <w:t>A</w:t>
      </w:r>
      <w:r>
        <w:rPr>
          <w:spacing w:val="-5"/>
        </w:rPr>
        <w:t> </w:t>
      </w:r>
      <w:r>
        <w:rPr/>
        <w:t>„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u w:val="none"/>
        </w:rPr>
        <w:t>”</w:t>
      </w:r>
      <w:r>
        <w:rPr>
          <w:spacing w:val="-5"/>
          <w:u w:val="none"/>
        </w:rPr>
        <w:t> </w:t>
      </w:r>
      <w:r>
        <w:rPr>
          <w:u w:val="none"/>
        </w:rPr>
        <w:t>portálon</w:t>
      </w:r>
      <w:r>
        <w:rPr>
          <w:spacing w:val="-5"/>
          <w:u w:val="none"/>
        </w:rPr>
        <w:t> </w:t>
      </w:r>
      <w:r>
        <w:rPr>
          <w:u w:val="none"/>
        </w:rPr>
        <w:t>az</w:t>
      </w:r>
      <w:r>
        <w:rPr>
          <w:spacing w:val="-5"/>
          <w:u w:val="none"/>
        </w:rPr>
        <w:t> </w:t>
      </w:r>
      <w:r>
        <w:rPr>
          <w:u w:val="none"/>
        </w:rPr>
        <w:t>uniós</w:t>
      </w:r>
      <w:r>
        <w:rPr>
          <w:spacing w:val="-5"/>
          <w:u w:val="none"/>
        </w:rPr>
        <w:t> </w:t>
      </w:r>
      <w:r>
        <w:rPr>
          <w:u w:val="none"/>
        </w:rPr>
        <w:t>intézmények,</w:t>
      </w:r>
      <w:r>
        <w:rPr>
          <w:spacing w:val="-5"/>
          <w:u w:val="none"/>
        </w:rPr>
        <w:t> </w:t>
      </w:r>
      <w:r>
        <w:rPr>
          <w:u w:val="none"/>
        </w:rPr>
        <w:t>szervek</w:t>
      </w:r>
      <w:r>
        <w:rPr>
          <w:spacing w:val="-5"/>
          <w:u w:val="none"/>
        </w:rPr>
        <w:t> </w:t>
      </w:r>
      <w:r>
        <w:rPr>
          <w:u w:val="none"/>
        </w:rPr>
        <w:t>és</w:t>
      </w:r>
      <w:r>
        <w:rPr>
          <w:spacing w:val="-5"/>
          <w:u w:val="none"/>
        </w:rPr>
        <w:t> </w:t>
      </w:r>
      <w:r>
        <w:rPr>
          <w:u w:val="none"/>
        </w:rPr>
        <w:t>ügynökségek</w:t>
      </w:r>
      <w:r>
        <w:rPr>
          <w:spacing w:val="-5"/>
          <w:u w:val="none"/>
        </w:rPr>
        <w:t> </w:t>
      </w:r>
      <w:r>
        <w:rPr>
          <w:u w:val="none"/>
        </w:rPr>
        <w:t>nyílt</w:t>
      </w:r>
      <w:r>
        <w:rPr>
          <w:spacing w:val="-5"/>
          <w:u w:val="none"/>
        </w:rPr>
        <w:t> </w:t>
      </w:r>
      <w:r>
        <w:rPr>
          <w:u w:val="none"/>
        </w:rPr>
        <w:t>hozzáférésű adatkészletei érhetők el. Az adatok ingyen letölthetők és felhasználhatók, úgy kereskedelmi, mint nem kereskedelmi célokra. Emellett a portálon keresztül a különböző európai országok számos adatkészlete elérhető.</w:t>
      </w:r>
    </w:p>
    <w:sectPr>
      <w:pgSz w:w="11910" w:h="16840"/>
      <w:pgMar w:top="880" w:bottom="280" w:left="86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2036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913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90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67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4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21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298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175" w:hanging="4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84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689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94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99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0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309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214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119" w:hanging="380"/>
      </w:pPr>
      <w:rPr>
        <w:rFonts w:hint="default"/>
        <w:lang w:val="hu-H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hu" TargetMode="External"/><Relationship Id="rId8" Type="http://schemas.openxmlformats.org/officeDocument/2006/relationships/hyperlink" Target="https://european-union.europa.eu/contact-eu/write-us_hu" TargetMode="External"/><Relationship Id="rId9" Type="http://schemas.openxmlformats.org/officeDocument/2006/relationships/hyperlink" Target="https://european-union.europa.eu/index_hu" TargetMode="External"/><Relationship Id="rId10" Type="http://schemas.openxmlformats.org/officeDocument/2006/relationships/hyperlink" Target="https://op.europa.eu/hu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hu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HU</dc:title>
  <dcterms:created xsi:type="dcterms:W3CDTF">2025-01-15T12:38:34Z</dcterms:created>
  <dcterms:modified xsi:type="dcterms:W3CDTF">2025-01-15T12:38:34Z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