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792" w:firstLine="0"/>
        <w:jc w:val="left"/>
        <w:rPr>
          <w:sz w:val="20"/>
        </w:rPr>
      </w:pPr>
      <w:bookmarkStart w:name="European Commission – DA" w:id="1"/>
      <w:bookmarkEnd w:id="1"/>
      <w:r>
        <w:rPr/>
      </w:r>
      <w:r>
        <w:rPr>
          <w:color w:val="FF0000"/>
          <w:sz w:val="20"/>
        </w:rPr>
        <w:t>European Commission – DA </w:t>
      </w:r>
      <w:r>
        <w:rPr>
          <w:i/>
          <w:sz w:val="20"/>
        </w:rPr>
        <w:t>Printed by [trykker] in [land]</w:t>
      </w:r>
      <w:r>
        <w:rPr>
          <w:i/>
          <w:sz w:val="20"/>
        </w:rPr>
        <w:t> </w:t>
      </w:r>
      <w:r>
        <w:rPr>
          <w:sz w:val="20"/>
        </w:rPr>
        <w:t>Redaktionen</w:t>
      </w:r>
      <w:r>
        <w:rPr>
          <w:spacing w:val="-10"/>
          <w:sz w:val="20"/>
        </w:rPr>
        <w:t> </w:t>
      </w:r>
      <w:r>
        <w:rPr>
          <w:sz w:val="20"/>
        </w:rPr>
        <w:t>afsluttet</w:t>
      </w:r>
      <w:r>
        <w:rPr>
          <w:spacing w:val="-10"/>
          <w:sz w:val="20"/>
        </w:rPr>
        <w:t> </w:t>
      </w:r>
      <w:r>
        <w:rPr>
          <w:sz w:val="20"/>
        </w:rPr>
        <w:t>i</w:t>
      </w:r>
      <w:r>
        <w:rPr>
          <w:spacing w:val="-10"/>
          <w:sz w:val="20"/>
        </w:rPr>
        <w:t> </w:t>
      </w:r>
      <w:r>
        <w:rPr>
          <w:sz w:val="20"/>
        </w:rPr>
        <w:t>[måned]</w:t>
      </w:r>
      <w:r>
        <w:rPr>
          <w:spacing w:val="-10"/>
          <w:sz w:val="20"/>
        </w:rPr>
        <w:t> </w:t>
      </w:r>
      <w:r>
        <w:rPr>
          <w:sz w:val="20"/>
        </w:rPr>
        <w:t>[år]</w:t>
      </w:r>
    </w:p>
    <w:p>
      <w:pPr>
        <w:pStyle w:val="BodyText"/>
        <w:spacing w:line="227" w:lineRule="exact"/>
      </w:pPr>
      <w:r>
        <w:rPr/>
        <w:t>Revideret</w:t>
      </w:r>
      <w:r>
        <w:rPr>
          <w:spacing w:val="-14"/>
        </w:rPr>
        <w:t> </w:t>
      </w:r>
      <w:r>
        <w:rPr/>
        <w:t>udgave/Berigtiget</w:t>
      </w:r>
      <w:r>
        <w:rPr>
          <w:spacing w:val="-12"/>
        </w:rPr>
        <w:t> </w:t>
      </w:r>
      <w:r>
        <w:rPr/>
        <w:t>udgave/[n’te]</w:t>
      </w:r>
      <w:r>
        <w:rPr>
          <w:spacing w:val="-12"/>
        </w:rPr>
        <w:t> </w:t>
      </w:r>
      <w:r>
        <w:rPr>
          <w:spacing w:val="-2"/>
        </w:rPr>
        <w:t>udgave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2060"/>
      </w:pPr>
      <w:r>
        <w:rPr/>
        <w:t>Dette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er</w:t>
      </w:r>
      <w:r>
        <w:rPr>
          <w:spacing w:val="-6"/>
        </w:rPr>
        <w:t> </w:t>
      </w:r>
      <w:r>
        <w:rPr/>
        <w:t>ikke</w:t>
      </w:r>
      <w:r>
        <w:rPr>
          <w:spacing w:val="-6"/>
        </w:rPr>
        <w:t> </w:t>
      </w:r>
      <w:r>
        <w:rPr/>
        <w:t>udtryk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Europa-Kommissionens</w:t>
      </w:r>
      <w:r>
        <w:rPr>
          <w:spacing w:val="-6"/>
        </w:rPr>
        <w:t> </w:t>
      </w:r>
      <w:r>
        <w:rPr/>
        <w:t>officielle</w:t>
      </w:r>
      <w:r>
        <w:rPr>
          <w:spacing w:val="-6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4"/>
        </w:rPr>
        <w:t>[år]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</w:pPr>
      <w:r>
        <w:rPr/>
        <w:t>Kommissionens</w:t>
      </w:r>
      <w:r>
        <w:rPr>
          <w:spacing w:val="-11"/>
        </w:rPr>
        <w:t> </w:t>
      </w:r>
      <w:r>
        <w:rPr/>
        <w:t>politik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videreanvendelse</w:t>
      </w:r>
      <w:r>
        <w:rPr>
          <w:spacing w:val="-8"/>
        </w:rPr>
        <w:t> </w:t>
      </w:r>
      <w:r>
        <w:rPr/>
        <w:t>er</w:t>
      </w:r>
      <w:r>
        <w:rPr>
          <w:spacing w:val="-8"/>
        </w:rPr>
        <w:t> </w:t>
      </w:r>
      <w:r>
        <w:rPr/>
        <w:t>gennemført</w:t>
      </w:r>
      <w:r>
        <w:rPr>
          <w:spacing w:val="-9"/>
        </w:rPr>
        <w:t> </w:t>
      </w:r>
      <w:r>
        <w:rPr/>
        <w:t>ved</w:t>
      </w:r>
      <w:r>
        <w:rPr>
          <w:spacing w:val="-8"/>
        </w:rPr>
        <w:t> </w:t>
      </w:r>
      <w:r>
        <w:rPr/>
        <w:t>Kommissionens</w:t>
      </w:r>
      <w:r>
        <w:rPr>
          <w:spacing w:val="-9"/>
        </w:rPr>
        <w:t> </w:t>
      </w:r>
      <w:r>
        <w:rPr/>
        <w:t>afgørelse</w:t>
      </w:r>
      <w:r>
        <w:rPr>
          <w:spacing w:val="-8"/>
        </w:rPr>
        <w:t> </w:t>
      </w:r>
      <w:r>
        <w:rPr/>
        <w:t>2011/833/EU</w:t>
      </w:r>
      <w:r>
        <w:rPr>
          <w:spacing w:val="-8"/>
        </w:rPr>
        <w:t> </w:t>
      </w:r>
      <w:r>
        <w:rPr>
          <w:spacing w:val="-5"/>
        </w:rPr>
        <w:t>af</w:t>
      </w:r>
    </w:p>
    <w:p>
      <w:pPr>
        <w:pStyle w:val="BodyText"/>
        <w:spacing w:line="244" w:lineRule="auto" w:before="4"/>
      </w:pPr>
      <w:r>
        <w:rPr/>
        <w:t>12.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</w:t>
      </w:r>
      <w:r>
        <w:rPr/>
        <w:t>videreanvendelse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dokumenter</w:t>
      </w:r>
      <w:r>
        <w:rPr>
          <w:spacing w:val="-5"/>
        </w:rPr>
        <w:t> </w:t>
      </w:r>
      <w:r>
        <w:rPr/>
        <w:t>(EUT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</w:pPr>
      <w:r>
        <w:rPr/>
        <w:t>Medmindre andet er angivet, er videreanvendelse af dette dokument tilladt under en Creative Commons Kreditering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4.0)-licens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Det</w:t>
      </w:r>
      <w:r>
        <w:rPr>
          <w:spacing w:val="-7"/>
          <w:u w:val="none"/>
        </w:rPr>
        <w:t> </w:t>
      </w:r>
      <w:r>
        <w:rPr>
          <w:u w:val="none"/>
        </w:rPr>
        <w:t>betyder,</w:t>
      </w:r>
      <w:r>
        <w:rPr>
          <w:spacing w:val="-7"/>
          <w:u w:val="none"/>
        </w:rPr>
        <w:t> </w:t>
      </w:r>
      <w:r>
        <w:rPr>
          <w:u w:val="none"/>
        </w:rPr>
        <w:t>at videreanvendelse er tilladt, med passende kildeangivelse og angivelse af eventuelle ændringer.</w:t>
      </w:r>
    </w:p>
    <w:p>
      <w:pPr>
        <w:pStyle w:val="BodyText"/>
        <w:spacing w:before="92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8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indhente</w:t>
      </w:r>
      <w:r>
        <w:rPr>
          <w:spacing w:val="-3"/>
        </w:rPr>
        <w:t> </w:t>
      </w:r>
      <w:r>
        <w:rPr/>
        <w:t>tilladelse</w:t>
      </w:r>
      <w:r>
        <w:rPr>
          <w:spacing w:val="-3"/>
        </w:rPr>
        <w:t> </w:t>
      </w:r>
      <w:r>
        <w:rPr/>
        <w:t>direkte</w:t>
      </w:r>
      <w:r>
        <w:rPr>
          <w:spacing w:val="-3"/>
        </w:rPr>
        <w:t> </w:t>
      </w:r>
      <w:r>
        <w:rPr/>
        <w:t>fra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respektive</w:t>
      </w:r>
      <w:r>
        <w:rPr>
          <w:spacing w:val="-3"/>
        </w:rPr>
        <w:t> </w:t>
      </w:r>
      <w:r>
        <w:rPr/>
        <w:t>rettighedshavere. Den</w:t>
      </w:r>
      <w:r>
        <w:rPr>
          <w:spacing w:val="-3"/>
        </w:rPr>
        <w:t> </w:t>
      </w:r>
      <w:r>
        <w:rPr/>
        <w:t>Europæiske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har</w:t>
      </w:r>
      <w:r>
        <w:rPr>
          <w:spacing w:val="-3"/>
        </w:rPr>
        <w:t> </w:t>
      </w:r>
      <w:r>
        <w:rPr/>
        <w:t>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79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 BY 2.0 [+ link til licensen]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both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98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38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 at indhente tilladelse direkte fra de respektive rettighedshavere.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2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Den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Europæiske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4"/>
          <w:w w:val="105"/>
          <w:sz w:val="18"/>
        </w:rPr>
        <w:t>[år]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Videreanvendelse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tilladt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med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kildeangivelse.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ikke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tilladt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fordreje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dette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dokuments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oprindelige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betydning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eller budskab.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Europa-Kommissionen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ikke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ansvarlig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nogen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følger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af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videreanvendelsen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af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denne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publikation.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Politikken for videreanvendelse af Europa-Kommissionens dokumenter gennemføres i henhold til Kommissionens afgørelse 2011/833/EU af 12. december 2011 om videreanvendelse af Kommissionens dokumenter (EUT L 330 af 14.12.2011,</w:t>
      </w:r>
    </w:p>
    <w:p>
      <w:pPr>
        <w:spacing w:before="1"/>
        <w:ind w:left="460" w:right="0" w:firstLine="0"/>
        <w:jc w:val="left"/>
        <w:rPr>
          <w:rFonts w:ascii="Gill Sans MT"/>
          <w:sz w:val="18"/>
        </w:rPr>
      </w:pPr>
      <w:r>
        <w:rPr>
          <w:rFonts w:ascii="Gill Sans MT"/>
          <w:w w:val="110"/>
          <w:sz w:val="18"/>
        </w:rPr>
        <w:t>s.</w:t>
      </w:r>
      <w:r>
        <w:rPr>
          <w:rFonts w:ascii="Gill Sans MT"/>
          <w:spacing w:val="-8"/>
          <w:w w:val="110"/>
          <w:sz w:val="18"/>
        </w:rPr>
        <w:t> </w:t>
      </w:r>
      <w:r>
        <w:rPr>
          <w:rFonts w:ascii="Gill Sans MT"/>
          <w:w w:val="110"/>
          <w:sz w:val="18"/>
        </w:rPr>
        <w:t>39,</w:t>
      </w:r>
      <w:r>
        <w:rPr>
          <w:rFonts w:ascii="Gill Sans MT"/>
          <w:spacing w:val="-7"/>
          <w:w w:val="110"/>
          <w:sz w:val="18"/>
        </w:rPr>
        <w:t> </w:t>
      </w:r>
      <w:r>
        <w:rPr>
          <w:rFonts w:ascii="Gill Sans MT"/>
          <w:w w:val="110"/>
          <w:sz w:val="18"/>
        </w:rPr>
        <w:t>ELI:</w:t>
      </w:r>
      <w:r>
        <w:rPr>
          <w:rFonts w:ascii="Gill Sans MT"/>
          <w:spacing w:val="-7"/>
          <w:w w:val="110"/>
          <w:sz w:val="18"/>
        </w:rPr>
        <w:t> </w:t>
      </w:r>
      <w:hyperlink r:id="rId6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7"/>
        <w:ind w:left="443" w:right="413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 center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1462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3">
        <w:r>
          <w:rPr>
            <w:color w:val="337AB7"/>
            <w:sz w:val="22"/>
            <w:u w:val="single" w:color="337AB7"/>
          </w:rPr>
          <w:t>op.europa.eu/da/web/general-publications/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171" w:firstLine="0"/>
        <w:jc w:val="left"/>
        <w:rPr>
          <w:sz w:val="22"/>
        </w:rPr>
      </w:pPr>
      <w:r>
        <w:rPr>
          <w:sz w:val="22"/>
        </w:rPr>
        <w:t>Portalen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åbne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EU’s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institutioner,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 agenturer. Dataene kan downloades og genanvendes gratis til både kommercielle og 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også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mængde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 europæiske lande.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a" TargetMode="External"/><Relationship Id="rId11" Type="http://schemas.openxmlformats.org/officeDocument/2006/relationships/hyperlink" Target="https://european-union.europa.eu/contact-eu/write-us_da" TargetMode="External"/><Relationship Id="rId12" Type="http://schemas.openxmlformats.org/officeDocument/2006/relationships/hyperlink" Target="https://european-union.europa.eu/" TargetMode="External"/><Relationship Id="rId13" Type="http://schemas.openxmlformats.org/officeDocument/2006/relationships/hyperlink" Target="https://op.europa.eu/da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DA</dc:title>
  <dcterms:created xsi:type="dcterms:W3CDTF">2025-01-14T12:53:20Z</dcterms:created>
  <dcterms:modified xsi:type="dcterms:W3CDTF">2025-01-14T12:53:20Z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