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FI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spacing w:line="550" w:lineRule="atLeast" w:before="8"/>
        <w:ind w:left="160" w:right="5854" w:firstLine="0"/>
        <w:jc w:val="both"/>
        <w:rPr>
          <w:sz w:val="20"/>
        </w:rPr>
      </w:pPr>
      <w:r>
        <w:rPr>
          <w:sz w:val="20"/>
        </w:rPr>
        <w:t>Käsikirjoitus</w:t>
      </w:r>
      <w:r>
        <w:rPr>
          <w:spacing w:val="-2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valmistunut</w:t>
      </w:r>
      <w:r>
        <w:rPr>
          <w:spacing w:val="-2"/>
          <w:sz w:val="20"/>
        </w:rPr>
        <w:t> </w:t>
      </w:r>
      <w:r>
        <w:rPr>
          <w:sz w:val="20"/>
        </w:rPr>
        <w:t>[kuukausi]</w:t>
      </w:r>
      <w:r>
        <w:rPr>
          <w:spacing w:val="-2"/>
          <w:sz w:val="20"/>
        </w:rPr>
        <w:t> </w:t>
      </w:r>
      <w:r>
        <w:rPr>
          <w:sz w:val="20"/>
        </w:rPr>
        <w:t>[vuosi] Tarkistettu</w:t>
      </w:r>
      <w:r>
        <w:rPr>
          <w:spacing w:val="-9"/>
          <w:sz w:val="20"/>
        </w:rPr>
        <w:t> </w:t>
      </w:r>
      <w:r>
        <w:rPr>
          <w:sz w:val="20"/>
        </w:rPr>
        <w:t>painos</w:t>
      </w:r>
      <w:r>
        <w:rPr>
          <w:spacing w:val="-9"/>
          <w:sz w:val="20"/>
        </w:rPr>
        <w:t> </w:t>
      </w:r>
      <w:r>
        <w:rPr>
          <w:sz w:val="20"/>
        </w:rPr>
        <w:t>/</w:t>
      </w:r>
      <w:r>
        <w:rPr>
          <w:spacing w:val="-9"/>
          <w:sz w:val="20"/>
        </w:rPr>
        <w:t> </w:t>
      </w:r>
      <w:r>
        <w:rPr>
          <w:sz w:val="20"/>
        </w:rPr>
        <w:t>Korjattu</w:t>
      </w:r>
      <w:r>
        <w:rPr>
          <w:spacing w:val="-9"/>
          <w:sz w:val="20"/>
        </w:rPr>
        <w:t> </w:t>
      </w:r>
      <w:r>
        <w:rPr>
          <w:sz w:val="20"/>
        </w:rPr>
        <w:t>painos</w:t>
      </w:r>
      <w:r>
        <w:rPr>
          <w:spacing w:val="-9"/>
          <w:sz w:val="20"/>
        </w:rPr>
        <w:t> </w:t>
      </w:r>
      <w:r>
        <w:rPr>
          <w:sz w:val="20"/>
        </w:rPr>
        <w:t>/</w:t>
      </w:r>
      <w:r>
        <w:rPr>
          <w:spacing w:val="-9"/>
          <w:sz w:val="20"/>
        </w:rPr>
        <w:t> </w:t>
      </w:r>
      <w:r>
        <w:rPr>
          <w:sz w:val="20"/>
        </w:rPr>
        <w:t>n.</w:t>
      </w:r>
      <w:r>
        <w:rPr>
          <w:spacing w:val="-9"/>
          <w:sz w:val="20"/>
        </w:rPr>
        <w:t> </w:t>
      </w:r>
      <w:r>
        <w:rPr>
          <w:sz w:val="20"/>
        </w:rPr>
        <w:t>painos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583" w:lineRule="auto" w:before="120"/>
        <w:ind w:left="160" w:right="725" w:firstLine="0"/>
        <w:jc w:val="both"/>
        <w:rPr>
          <w:sz w:val="20"/>
        </w:rPr>
      </w:pPr>
      <w:r>
        <w:rPr>
          <w:sz w:val="20"/>
        </w:rPr>
        <w:t>Tässä</w:t>
      </w:r>
      <w:r>
        <w:rPr>
          <w:spacing w:val="-6"/>
          <w:sz w:val="20"/>
        </w:rPr>
        <w:t> </w:t>
      </w:r>
      <w:r>
        <w:rPr>
          <w:sz w:val="20"/>
        </w:rPr>
        <w:t>asiakirjassa</w:t>
      </w:r>
      <w:r>
        <w:rPr>
          <w:spacing w:val="-6"/>
          <w:sz w:val="20"/>
        </w:rPr>
        <w:t> </w:t>
      </w:r>
      <w:r>
        <w:rPr>
          <w:sz w:val="20"/>
        </w:rPr>
        <w:t>esitettyjä</w:t>
      </w:r>
      <w:r>
        <w:rPr>
          <w:spacing w:val="-6"/>
          <w:sz w:val="20"/>
        </w:rPr>
        <w:t> </w:t>
      </w:r>
      <w:r>
        <w:rPr>
          <w:sz w:val="20"/>
        </w:rPr>
        <w:t>mielipiteitä</w:t>
      </w:r>
      <w:r>
        <w:rPr>
          <w:spacing w:val="-6"/>
          <w:sz w:val="20"/>
        </w:rPr>
        <w:t> </w:t>
      </w:r>
      <w:r>
        <w:rPr>
          <w:sz w:val="20"/>
        </w:rPr>
        <w:t>ei</w:t>
      </w:r>
      <w:r>
        <w:rPr>
          <w:spacing w:val="-6"/>
          <w:sz w:val="20"/>
        </w:rPr>
        <w:t> </w:t>
      </w:r>
      <w:r>
        <w:rPr>
          <w:sz w:val="20"/>
        </w:rPr>
        <w:t>voida</w:t>
      </w:r>
      <w:r>
        <w:rPr>
          <w:spacing w:val="-6"/>
          <w:sz w:val="20"/>
        </w:rPr>
        <w:t> </w:t>
      </w:r>
      <w:r>
        <w:rPr>
          <w:sz w:val="20"/>
        </w:rPr>
        <w:t>pitää</w:t>
      </w:r>
      <w:r>
        <w:rPr>
          <w:spacing w:val="-6"/>
          <w:sz w:val="20"/>
        </w:rPr>
        <w:t> </w:t>
      </w:r>
      <w:r>
        <w:rPr>
          <w:sz w:val="20"/>
        </w:rPr>
        <w:t>[toimielimen/elimen/toimiston]</w:t>
      </w:r>
      <w:r>
        <w:rPr>
          <w:spacing w:val="-6"/>
          <w:sz w:val="20"/>
        </w:rPr>
        <w:t> </w:t>
      </w:r>
      <w:r>
        <w:rPr>
          <w:sz w:val="20"/>
        </w:rPr>
        <w:t>virallisena</w:t>
      </w:r>
      <w:r>
        <w:rPr>
          <w:spacing w:val="-6"/>
          <w:sz w:val="20"/>
        </w:rPr>
        <w:t> </w:t>
      </w:r>
      <w:r>
        <w:rPr>
          <w:sz w:val="20"/>
        </w:rPr>
        <w:t>kantana. Luxemburg: Euroopan unionin julkaisutoimisto, [vuosi]</w:t>
      </w:r>
    </w:p>
    <w:p>
      <w:pPr>
        <w:spacing w:line="228" w:lineRule="exact" w:before="0"/>
        <w:ind w:left="160" w:right="0" w:firstLine="0"/>
        <w:jc w:val="both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Euroopan</w:t>
      </w:r>
      <w:r>
        <w:rPr>
          <w:spacing w:val="-5"/>
          <w:sz w:val="20"/>
        </w:rPr>
        <w:t> </w:t>
      </w:r>
      <w:r>
        <w:rPr>
          <w:sz w:val="20"/>
        </w:rPr>
        <w:t>unioni,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[vuosi]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Jäljentäminen</w:t>
      </w:r>
      <w:r>
        <w:rPr>
          <w:spacing w:val="-10"/>
          <w:sz w:val="20"/>
        </w:rPr>
        <w:t> </w:t>
      </w:r>
      <w:r>
        <w:rPr>
          <w:sz w:val="20"/>
        </w:rPr>
        <w:t>on</w:t>
      </w:r>
      <w:r>
        <w:rPr>
          <w:spacing w:val="-7"/>
          <w:sz w:val="20"/>
        </w:rPr>
        <w:t> </w:t>
      </w:r>
      <w:r>
        <w:rPr>
          <w:sz w:val="20"/>
        </w:rPr>
        <w:t>sallittua,</w:t>
      </w:r>
      <w:r>
        <w:rPr>
          <w:spacing w:val="-7"/>
          <w:sz w:val="20"/>
        </w:rPr>
        <w:t> </w:t>
      </w:r>
      <w:r>
        <w:rPr>
          <w:sz w:val="20"/>
        </w:rPr>
        <w:t>kunhan</w:t>
      </w:r>
      <w:r>
        <w:rPr>
          <w:spacing w:val="-7"/>
          <w:sz w:val="20"/>
        </w:rPr>
        <w:t> </w:t>
      </w:r>
      <w:r>
        <w:rPr>
          <w:sz w:val="20"/>
        </w:rPr>
        <w:t>lähde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mainitaan.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Sellaisten aineiston osien käyttö tai jäljentäminen, jotka eivät ole Euroopan unionin omaisuutta, saattaa edellyttää</w:t>
      </w:r>
      <w:r>
        <w:rPr>
          <w:spacing w:val="-5"/>
          <w:sz w:val="20"/>
        </w:rPr>
        <w:t> </w:t>
      </w:r>
      <w:r>
        <w:rPr>
          <w:sz w:val="20"/>
        </w:rPr>
        <w:t>lupaa</w:t>
      </w:r>
      <w:r>
        <w:rPr>
          <w:spacing w:val="-5"/>
          <w:sz w:val="20"/>
        </w:rPr>
        <w:t> </w:t>
      </w:r>
      <w:r>
        <w:rPr>
          <w:sz w:val="20"/>
        </w:rPr>
        <w:t>suoraan</w:t>
      </w:r>
      <w:r>
        <w:rPr>
          <w:spacing w:val="-5"/>
          <w:sz w:val="20"/>
        </w:rPr>
        <w:t> </w:t>
      </w:r>
      <w:r>
        <w:rPr>
          <w:sz w:val="20"/>
        </w:rPr>
        <w:t>asianomaisilta</w:t>
      </w:r>
      <w:r>
        <w:rPr>
          <w:spacing w:val="-5"/>
          <w:sz w:val="20"/>
        </w:rPr>
        <w:t> </w:t>
      </w:r>
      <w:r>
        <w:rPr>
          <w:sz w:val="20"/>
        </w:rPr>
        <w:t>oikeudenhaltijoilta.</w:t>
      </w:r>
      <w:r>
        <w:rPr>
          <w:spacing w:val="-3"/>
          <w:sz w:val="20"/>
        </w:rPr>
        <w:t> </w:t>
      </w:r>
      <w:r>
        <w:rPr>
          <w:sz w:val="20"/>
        </w:rPr>
        <w:t>Euroopan</w:t>
      </w:r>
      <w:r>
        <w:rPr>
          <w:spacing w:val="-5"/>
          <w:sz w:val="20"/>
        </w:rPr>
        <w:t> </w:t>
      </w:r>
      <w:r>
        <w:rPr>
          <w:sz w:val="20"/>
        </w:rPr>
        <w:t>unionilla</w:t>
      </w:r>
      <w:r>
        <w:rPr>
          <w:spacing w:val="-5"/>
          <w:sz w:val="20"/>
        </w:rPr>
        <w:t> </w:t>
      </w:r>
      <w:r>
        <w:rPr>
          <w:sz w:val="20"/>
        </w:rPr>
        <w:t>ei</w:t>
      </w:r>
      <w:r>
        <w:rPr>
          <w:spacing w:val="-5"/>
          <w:sz w:val="20"/>
        </w:rPr>
        <w:t> </w:t>
      </w:r>
      <w:r>
        <w:rPr>
          <w:sz w:val="20"/>
        </w:rPr>
        <w:t>ole</w:t>
      </w:r>
      <w:r>
        <w:rPr>
          <w:spacing w:val="-5"/>
          <w:sz w:val="20"/>
        </w:rPr>
        <w:t> </w:t>
      </w:r>
      <w:r>
        <w:rPr>
          <w:sz w:val="20"/>
        </w:rPr>
        <w:t>tekijänoikeutta</w:t>
      </w:r>
      <w:r>
        <w:rPr>
          <w:spacing w:val="-5"/>
          <w:sz w:val="20"/>
        </w:rPr>
        <w:t> </w:t>
      </w:r>
      <w:r>
        <w:rPr>
          <w:sz w:val="20"/>
        </w:rPr>
        <w:t>seuraaviin aineiston osiin: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spacing w:before="3"/>
        <w:ind w:left="880" w:right="0" w:firstLine="0"/>
        <w:jc w:val="left"/>
        <w:rPr>
          <w:sz w:val="20"/>
        </w:rPr>
      </w:pPr>
      <w:r>
        <w:rPr>
          <w:sz w:val="20"/>
        </w:rPr>
        <w:t>-lisenssin</w:t>
      </w:r>
      <w:r>
        <w:rPr>
          <w:spacing w:val="-9"/>
          <w:sz w:val="20"/>
        </w:rPr>
        <w:t> </w:t>
      </w:r>
      <w:r>
        <w:rPr>
          <w:sz w:val="20"/>
        </w:rPr>
        <w:t>nojalla</w:t>
      </w:r>
      <w:r>
        <w:rPr>
          <w:spacing w:val="-6"/>
          <w:sz w:val="20"/>
        </w:rPr>
        <w:t> </w:t>
      </w:r>
      <w:r>
        <w:rPr>
          <w:sz w:val="20"/>
        </w:rPr>
        <w:t>[+</w:t>
      </w:r>
      <w:r>
        <w:rPr>
          <w:spacing w:val="-6"/>
          <w:sz w:val="20"/>
        </w:rPr>
        <w:t> </w:t>
      </w:r>
      <w:r>
        <w:rPr>
          <w:sz w:val="20"/>
        </w:rPr>
        <w:t>linkki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98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Sellaisten</w:t>
      </w:r>
      <w:r>
        <w:rPr>
          <w:spacing w:val="-4"/>
          <w:sz w:val="20"/>
        </w:rPr>
        <w:t> </w:t>
      </w:r>
      <w:r>
        <w:rPr>
          <w:sz w:val="20"/>
        </w:rPr>
        <w:t>aineiston</w:t>
      </w:r>
      <w:r>
        <w:rPr>
          <w:spacing w:val="-4"/>
          <w:sz w:val="20"/>
        </w:rPr>
        <w:t> </w:t>
      </w:r>
      <w:r>
        <w:rPr>
          <w:sz w:val="20"/>
        </w:rPr>
        <w:t>osien</w:t>
      </w:r>
      <w:r>
        <w:rPr>
          <w:spacing w:val="-4"/>
          <w:sz w:val="20"/>
        </w:rPr>
        <w:t> </w:t>
      </w:r>
      <w:r>
        <w:rPr>
          <w:sz w:val="20"/>
        </w:rPr>
        <w:t>käyttö</w:t>
      </w:r>
      <w:r>
        <w:rPr>
          <w:spacing w:val="-4"/>
          <w:sz w:val="20"/>
        </w:rPr>
        <w:t> </w:t>
      </w:r>
      <w:r>
        <w:rPr>
          <w:sz w:val="20"/>
        </w:rPr>
        <w:t>tai</w:t>
      </w:r>
      <w:r>
        <w:rPr>
          <w:spacing w:val="-4"/>
          <w:sz w:val="20"/>
        </w:rPr>
        <w:t> </w:t>
      </w:r>
      <w:r>
        <w:rPr>
          <w:sz w:val="20"/>
        </w:rPr>
        <w:t>jäljentäminen,</w:t>
      </w:r>
      <w:r>
        <w:rPr>
          <w:spacing w:val="-4"/>
          <w:sz w:val="20"/>
        </w:rPr>
        <w:t> </w:t>
      </w:r>
      <w:r>
        <w:rPr>
          <w:sz w:val="20"/>
        </w:rPr>
        <w:t>jotka</w:t>
      </w:r>
      <w:r>
        <w:rPr>
          <w:spacing w:val="-4"/>
          <w:sz w:val="20"/>
        </w:rPr>
        <w:t> </w:t>
      </w:r>
      <w:r>
        <w:rPr>
          <w:sz w:val="20"/>
        </w:rPr>
        <w:t>eivät</w:t>
      </w:r>
      <w:r>
        <w:rPr>
          <w:spacing w:val="-4"/>
          <w:sz w:val="20"/>
        </w:rPr>
        <w:t> </w:t>
      </w:r>
      <w:r>
        <w:rPr>
          <w:sz w:val="20"/>
        </w:rPr>
        <w:t>ole</w:t>
      </w:r>
      <w:r>
        <w:rPr>
          <w:spacing w:val="-4"/>
          <w:sz w:val="20"/>
        </w:rPr>
        <w:t> </w:t>
      </w:r>
      <w:r>
        <w:rPr>
          <w:sz w:val="20"/>
        </w:rPr>
        <w:t>Euroopan</w:t>
      </w:r>
      <w:r>
        <w:rPr>
          <w:spacing w:val="-4"/>
          <w:sz w:val="20"/>
        </w:rPr>
        <w:t> </w:t>
      </w:r>
      <w:r>
        <w:rPr>
          <w:sz w:val="20"/>
        </w:rPr>
        <w:t>unionin</w:t>
      </w:r>
      <w:r>
        <w:rPr>
          <w:spacing w:val="-4"/>
          <w:sz w:val="20"/>
        </w:rPr>
        <w:t> </w:t>
      </w:r>
      <w:r>
        <w:rPr>
          <w:sz w:val="20"/>
        </w:rPr>
        <w:t>omaisuutta,</w:t>
      </w:r>
      <w:r>
        <w:rPr>
          <w:spacing w:val="-4"/>
          <w:sz w:val="20"/>
        </w:rPr>
        <w:t> </w:t>
      </w:r>
      <w:r>
        <w:rPr>
          <w:sz w:val="20"/>
        </w:rPr>
        <w:t>saattaa edellyttää lupaa suoraan asianomaisilta oikeudenhaltijoilta.</w:t>
      </w:r>
    </w:p>
    <w:p>
      <w:pPr>
        <w:pStyle w:val="BodyText"/>
        <w:spacing w:before="127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338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pStyle w:val="BodyText"/>
        <w:spacing w:line="290" w:lineRule="auto" w:before="167"/>
        <w:ind w:left="443"/>
      </w:pPr>
      <w:r>
        <w:rPr/>
        <w:t>Euroopan</w:t>
      </w:r>
      <w:r>
        <w:rPr>
          <w:spacing w:val="-5"/>
        </w:rPr>
        <w:t> </w:t>
      </w:r>
      <w:r>
        <w:rPr/>
        <w:t>unionin</w:t>
      </w:r>
      <w:r>
        <w:rPr>
          <w:spacing w:val="-5"/>
        </w:rPr>
        <w:t> </w:t>
      </w:r>
      <w:r>
        <w:rPr/>
        <w:t>alueella</w:t>
      </w:r>
      <w:r>
        <w:rPr>
          <w:spacing w:val="-5"/>
        </w:rPr>
        <w:t> </w:t>
      </w:r>
      <w:r>
        <w:rPr/>
        <w:t>toimii</w:t>
      </w:r>
      <w:r>
        <w:rPr>
          <w:spacing w:val="-5"/>
        </w:rPr>
        <w:t> </w:t>
      </w:r>
      <w:r>
        <w:rPr/>
        <w:t>yhteensä</w:t>
      </w:r>
      <w:r>
        <w:rPr>
          <w:spacing w:val="-5"/>
        </w:rPr>
        <w:t> </w:t>
      </w:r>
      <w:r>
        <w:rPr/>
        <w:t>satoja</w:t>
      </w:r>
      <w:r>
        <w:rPr>
          <w:spacing w:val="-5"/>
        </w:rPr>
        <w:t> </w:t>
      </w:r>
      <w:r>
        <w:rPr/>
        <w:t>Europe</w:t>
      </w:r>
      <w:r>
        <w:rPr>
          <w:spacing w:val="-5"/>
        </w:rPr>
        <w:t> </w:t>
      </w:r>
      <w:r>
        <w:rPr/>
        <w:t>Direct</w:t>
      </w:r>
      <w:r>
        <w:rPr>
          <w:spacing w:val="-5"/>
        </w:rPr>
        <w:t> </w:t>
      </w:r>
      <w:r>
        <w:rPr/>
        <w:t>-tiedotuspisteitä.</w:t>
      </w:r>
      <w:r>
        <w:rPr>
          <w:spacing w:val="-5"/>
        </w:rPr>
        <w:t> </w:t>
      </w:r>
      <w:r>
        <w:rPr/>
        <w:t>Lähimmän tiedotuspisteen osoite löytyy verkosta (</w:t>
      </w:r>
      <w:hyperlink r:id="rId7">
        <w:r>
          <w:rPr>
            <w:color w:val="337AB7"/>
            <w:u w:val="single" w:color="337AB7"/>
          </w:rPr>
          <w:t>european-union.europa.eu/contact-eu/meet-us_fi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pStyle w:val="BodyText"/>
        <w:spacing w:line="290" w:lineRule="auto" w:before="166"/>
        <w:ind w:left="443" w:right="69"/>
      </w:pPr>
      <w:r>
        <w:rPr/>
        <w:t>Europe</w:t>
      </w:r>
      <w:r>
        <w:rPr>
          <w:spacing w:val="-5"/>
        </w:rPr>
        <w:t> </w:t>
      </w:r>
      <w:r>
        <w:rPr/>
        <w:t>Direct</w:t>
      </w:r>
      <w:r>
        <w:rPr>
          <w:spacing w:val="-5"/>
        </w:rPr>
        <w:t> </w:t>
      </w:r>
      <w:r>
        <w:rPr/>
        <w:t>-palvelu</w:t>
      </w:r>
      <w:r>
        <w:rPr>
          <w:spacing w:val="-5"/>
        </w:rPr>
        <w:t> </w:t>
      </w:r>
      <w:r>
        <w:rPr/>
        <w:t>vastaa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unionia</w:t>
      </w:r>
      <w:r>
        <w:rPr>
          <w:spacing w:val="-5"/>
        </w:rPr>
        <w:t> </w:t>
      </w:r>
      <w:r>
        <w:rPr/>
        <w:t>koskeviin</w:t>
      </w:r>
      <w:r>
        <w:rPr>
          <w:spacing w:val="-5"/>
        </w:rPr>
        <w:t> </w:t>
      </w:r>
      <w:r>
        <w:rPr/>
        <w:t>kysymyksiin.</w:t>
      </w:r>
      <w:r>
        <w:rPr>
          <w:spacing w:val="-5"/>
        </w:rPr>
        <w:t> </w:t>
      </w:r>
      <w:r>
        <w:rPr/>
        <w:t>Palveluun</w:t>
      </w:r>
      <w:r>
        <w:rPr>
          <w:spacing w:val="-5"/>
        </w:rPr>
        <w:t> </w:t>
      </w:r>
      <w:r>
        <w:rPr/>
        <w:t>voi</w:t>
      </w:r>
      <w:r>
        <w:rPr>
          <w:spacing w:val="-5"/>
        </w:rPr>
        <w:t> </w:t>
      </w:r>
      <w:r>
        <w:rPr/>
        <w:t>ottaa </w:t>
      </w:r>
      <w:r>
        <w:rPr>
          <w:spacing w:val="-2"/>
        </w:rPr>
        <w:t>yhteyttä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698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 voivat periä puhelumaksun),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4"/>
      </w:pPr>
      <w:r>
        <w:rPr>
          <w:spacing w:val="-2"/>
        </w:rPr>
        <w:t>Verkkosivut</w:t>
      </w:r>
    </w:p>
    <w:p>
      <w:pPr>
        <w:pStyle w:val="BodyText"/>
        <w:spacing w:line="290" w:lineRule="auto" w:before="167"/>
        <w:ind w:left="443" w:right="1142"/>
      </w:pPr>
      <w:r>
        <w:rPr/>
        <w:t>Tietoa</w:t>
      </w:r>
      <w:r>
        <w:rPr>
          <w:spacing w:val="-6"/>
        </w:rPr>
        <w:t> </w:t>
      </w:r>
      <w:r>
        <w:rPr/>
        <w:t>Euroopan</w:t>
      </w:r>
      <w:r>
        <w:rPr>
          <w:spacing w:val="-6"/>
        </w:rPr>
        <w:t> </w:t>
      </w:r>
      <w:r>
        <w:rPr/>
        <w:t>unionista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saatavilla</w:t>
      </w:r>
      <w:r>
        <w:rPr>
          <w:spacing w:val="-6"/>
        </w:rPr>
        <w:t> </w:t>
      </w:r>
      <w:r>
        <w:rPr/>
        <w:t>kaikilla</w:t>
      </w:r>
      <w:r>
        <w:rPr>
          <w:spacing w:val="-6"/>
        </w:rPr>
        <w:t> </w:t>
      </w:r>
      <w:r>
        <w:rPr/>
        <w:t>EU:n</w:t>
      </w:r>
      <w:r>
        <w:rPr>
          <w:spacing w:val="-6"/>
        </w:rPr>
        <w:t> </w:t>
      </w:r>
      <w:r>
        <w:rPr/>
        <w:t>virallisilla</w:t>
      </w:r>
      <w:r>
        <w:rPr>
          <w:spacing w:val="-6"/>
        </w:rPr>
        <w:t> </w:t>
      </w:r>
      <w:r>
        <w:rPr/>
        <w:t>kielillä</w:t>
      </w:r>
      <w:r>
        <w:rPr>
          <w:spacing w:val="-6"/>
        </w:rPr>
        <w:t> </w:t>
      </w:r>
      <w:r>
        <w:rPr/>
        <w:t>Europa-sivustolla </w:t>
      </w:r>
      <w:r>
        <w:rPr>
          <w:spacing w:val="-2"/>
        </w:rPr>
        <w:t>(</w:t>
      </w:r>
      <w:hyperlink r:id="rId9">
        <w:r>
          <w:rPr>
            <w:color w:val="337AB7"/>
            <w:spacing w:val="-2"/>
            <w:u w:val="single" w:color="337AB7"/>
          </w:rPr>
          <w:t>european-union.europa.eu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pStyle w:val="BodyText"/>
        <w:spacing w:line="290" w:lineRule="auto" w:before="166"/>
        <w:ind w:left="443" w:right="338"/>
      </w:pPr>
      <w:r>
        <w:rPr/>
        <w:t>EU:n</w:t>
      </w:r>
      <w:r>
        <w:rPr>
          <w:spacing w:val="-5"/>
        </w:rPr>
        <w:t> </w:t>
      </w:r>
      <w:r>
        <w:rPr/>
        <w:t>ilmaisia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maksullisia</w:t>
      </w:r>
      <w:r>
        <w:rPr>
          <w:spacing w:val="-5"/>
        </w:rPr>
        <w:t> </w:t>
      </w:r>
      <w:r>
        <w:rPr/>
        <w:t>julkaisuja</w:t>
      </w:r>
      <w:r>
        <w:rPr>
          <w:spacing w:val="-5"/>
        </w:rPr>
        <w:t> </w:t>
      </w:r>
      <w:r>
        <w:rPr/>
        <w:t>voi</w:t>
      </w:r>
      <w:r>
        <w:rPr>
          <w:spacing w:val="-5"/>
        </w:rPr>
        <w:t> </w:t>
      </w:r>
      <w:r>
        <w:rPr/>
        <w:t>ladata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/>
        <w:t>tilata</w:t>
      </w:r>
      <w:r>
        <w:rPr>
          <w:spacing w:val="-5"/>
        </w:rPr>
        <w:t> </w:t>
      </w:r>
      <w:r>
        <w:rPr/>
        <w:t>verkosta</w:t>
      </w:r>
      <w:r>
        <w:rPr>
          <w:spacing w:val="-5"/>
        </w:rPr>
        <w:t> </w:t>
      </w:r>
      <w:r>
        <w:rPr/>
        <w:t>(</w:t>
      </w:r>
      <w:hyperlink r:id="rId10">
        <w:r>
          <w:rPr>
            <w:color w:val="337AB7"/>
            <w:u w:val="single" w:color="337AB7"/>
          </w:rPr>
          <w:t>op.europa.eu/fi/web/general-</w:t>
        </w:r>
      </w:hyperlink>
      <w:r>
        <w:rPr>
          <w:color w:val="337AB7"/>
          <w:u w:val="none"/>
        </w:rPr>
        <w:t> </w:t>
      </w:r>
      <w:hyperlink r:id="rId10">
        <w:r>
          <w:rPr>
            <w:color w:val="337AB7"/>
            <w:u w:val="single" w:color="337AB7"/>
          </w:rPr>
          <w:t>publications/publications</w:t>
        </w:r>
      </w:hyperlink>
      <w:r>
        <w:rPr>
          <w:u w:val="none"/>
        </w:rPr>
        <w:t>). Ilmaisia julkaisuja on mahdollista saada usean kappaleen erinä ottamalla yhteyttä Europe Direct -palveluun tai paikalliseen tiedotuspisteeseen (ks. </w:t>
      </w:r>
      <w:hyperlink r:id="rId7">
        <w:r>
          <w:rPr>
            <w:color w:val="337AB7"/>
            <w:u w:val="single" w:color="337AB7"/>
          </w:rPr>
          <w:t>european-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union.europa.eu/contact-eu/meet-us_fi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pStyle w:val="BodyText"/>
        <w:spacing w:line="290" w:lineRule="auto" w:before="167"/>
        <w:ind w:left="443" w:right="69"/>
      </w:pPr>
      <w:r>
        <w:rPr/>
        <w:t>EU:n</w:t>
      </w:r>
      <w:r>
        <w:rPr>
          <w:spacing w:val="-4"/>
        </w:rPr>
        <w:t> </w:t>
      </w:r>
      <w:r>
        <w:rPr/>
        <w:t>koko</w:t>
      </w:r>
      <w:r>
        <w:rPr>
          <w:spacing w:val="-4"/>
        </w:rPr>
        <w:t> </w:t>
      </w:r>
      <w:r>
        <w:rPr/>
        <w:t>lainsäädäntö</w:t>
      </w:r>
      <w:r>
        <w:rPr>
          <w:spacing w:val="-4"/>
        </w:rPr>
        <w:t> </w:t>
      </w:r>
      <w:r>
        <w:rPr/>
        <w:t>vuodesta</w:t>
      </w:r>
      <w:r>
        <w:rPr>
          <w:spacing w:val="-4"/>
        </w:rPr>
        <w:t> </w:t>
      </w:r>
      <w:r>
        <w:rPr/>
        <w:t>1951</w:t>
      </w:r>
      <w:r>
        <w:rPr>
          <w:spacing w:val="-4"/>
        </w:rPr>
        <w:t> </w:t>
      </w:r>
      <w:r>
        <w:rPr/>
        <w:t>ja</w:t>
      </w:r>
      <w:r>
        <w:rPr>
          <w:spacing w:val="-4"/>
        </w:rPr>
        <w:t> </w:t>
      </w:r>
      <w:r>
        <w:rPr/>
        <w:t>muuta</w:t>
      </w:r>
      <w:r>
        <w:rPr>
          <w:spacing w:val="-4"/>
        </w:rPr>
        <w:t> </w:t>
      </w:r>
      <w:r>
        <w:rPr/>
        <w:t>tietoa</w:t>
      </w:r>
      <w:r>
        <w:rPr>
          <w:spacing w:val="-4"/>
        </w:rPr>
        <w:t> </w:t>
      </w:r>
      <w:r>
        <w:rPr/>
        <w:t>EU:n</w:t>
      </w:r>
      <w:r>
        <w:rPr>
          <w:spacing w:val="-4"/>
        </w:rPr>
        <w:t> </w:t>
      </w:r>
      <w:r>
        <w:rPr/>
        <w:t>oikeudesta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saatavilla</w:t>
      </w:r>
      <w:r>
        <w:rPr>
          <w:spacing w:val="-4"/>
        </w:rPr>
        <w:t> </w:t>
      </w:r>
      <w:r>
        <w:rPr/>
        <w:t>kaikilla virallisilla kielillä EUR-Lex-tietokannassa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pStyle w:val="BodyText"/>
        <w:spacing w:line="290" w:lineRule="auto" w:before="166"/>
        <w:ind w:left="443" w:right="338"/>
      </w:pPr>
      <w:r>
        <w:rPr/>
        <w:t>Eurooppalaisen datan portaali (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u w:val="none"/>
        </w:rPr>
        <w:t>) tarjoaa pääsyn EU:n toimielinten, elinten ja virastojen</w:t>
      </w:r>
      <w:r>
        <w:rPr>
          <w:spacing w:val="-6"/>
          <w:u w:val="none"/>
        </w:rPr>
        <w:t> </w:t>
      </w:r>
      <w:r>
        <w:rPr>
          <w:u w:val="none"/>
        </w:rPr>
        <w:t>avoimiin</w:t>
      </w:r>
      <w:r>
        <w:rPr>
          <w:spacing w:val="-6"/>
          <w:u w:val="none"/>
        </w:rPr>
        <w:t> </w:t>
      </w:r>
      <w:r>
        <w:rPr>
          <w:u w:val="none"/>
        </w:rPr>
        <w:t>data-aineistoihin.</w:t>
      </w:r>
      <w:r>
        <w:rPr>
          <w:spacing w:val="-6"/>
          <w:u w:val="none"/>
        </w:rPr>
        <w:t> </w:t>
      </w:r>
      <w:r>
        <w:rPr>
          <w:u w:val="none"/>
        </w:rPr>
        <w:t>Data</w:t>
      </w:r>
      <w:r>
        <w:rPr>
          <w:spacing w:val="-6"/>
          <w:u w:val="none"/>
        </w:rPr>
        <w:t> </w:t>
      </w:r>
      <w:r>
        <w:rPr>
          <w:u w:val="none"/>
        </w:rPr>
        <w:t>on</w:t>
      </w:r>
      <w:r>
        <w:rPr>
          <w:spacing w:val="-6"/>
          <w:u w:val="none"/>
        </w:rPr>
        <w:t> </w:t>
      </w:r>
      <w:r>
        <w:rPr>
          <w:u w:val="none"/>
        </w:rPr>
        <w:t>ladattavissa</w:t>
      </w:r>
      <w:r>
        <w:rPr>
          <w:spacing w:val="-6"/>
          <w:u w:val="none"/>
        </w:rPr>
        <w:t> </w:t>
      </w:r>
      <w:r>
        <w:rPr>
          <w:u w:val="none"/>
        </w:rPr>
        <w:t>ja</w:t>
      </w:r>
      <w:r>
        <w:rPr>
          <w:spacing w:val="-6"/>
          <w:u w:val="none"/>
        </w:rPr>
        <w:t> </w:t>
      </w:r>
      <w:r>
        <w:rPr>
          <w:u w:val="none"/>
        </w:rPr>
        <w:t>uudelleenkäytettävissä</w:t>
      </w:r>
      <w:r>
        <w:rPr>
          <w:spacing w:val="-6"/>
          <w:u w:val="none"/>
        </w:rPr>
        <w:t> </w:t>
      </w:r>
      <w:r>
        <w:rPr>
          <w:u w:val="none"/>
        </w:rPr>
        <w:t>maksutta sekä kaupallista että ei-kaupallista käyttöä varten. Portaalissa on myös runsaasti Euroopan maiden data-aineistoja.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fi-FI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fi-F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fi" TargetMode="External"/><Relationship Id="rId8" Type="http://schemas.openxmlformats.org/officeDocument/2006/relationships/hyperlink" Target="https://european-union.europa.eu/contact-eu/write-us_fi" TargetMode="External"/><Relationship Id="rId9" Type="http://schemas.openxmlformats.org/officeDocument/2006/relationships/hyperlink" Target="https://european-union.europa.eu/index_fi" TargetMode="External"/><Relationship Id="rId10" Type="http://schemas.openxmlformats.org/officeDocument/2006/relationships/hyperlink" Target="https://op.europa.eu/fi/web/general-publication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fi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FI</dc:title>
  <dcterms:created xsi:type="dcterms:W3CDTF">2025-01-15T12:26:57Z</dcterms:created>
  <dcterms:modified xsi:type="dcterms:W3CDTF">2025-01-15T12:26:57Z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