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line="244" w:lineRule="auto" w:before="77"/>
        <w:ind w:left="160" w:right="2693"/>
      </w:pPr>
      <w:bookmarkStart w:name="European Central Bank (ECB) and bodies/a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6"/>
        </w:rPr>
        <w:t> </w:t>
      </w:r>
      <w:r>
        <w:rPr>
          <w:color w:val="FF0000"/>
        </w:rPr>
        <w:t>Central</w:t>
      </w:r>
      <w:r>
        <w:rPr>
          <w:color w:val="FF0000"/>
          <w:spacing w:val="-6"/>
        </w:rPr>
        <w:t> </w:t>
      </w:r>
      <w:r>
        <w:rPr>
          <w:color w:val="FF0000"/>
        </w:rPr>
        <w:t>Bank</w:t>
      </w:r>
      <w:r>
        <w:rPr>
          <w:color w:val="FF0000"/>
          <w:spacing w:val="-6"/>
        </w:rPr>
        <w:t> </w:t>
      </w:r>
      <w:r>
        <w:rPr>
          <w:color w:val="FF0000"/>
        </w:rPr>
        <w:t>(ECB)</w:t>
      </w:r>
      <w:r>
        <w:rPr>
          <w:color w:val="FF0000"/>
          <w:spacing w:val="-6"/>
        </w:rPr>
        <w:t> </w:t>
      </w:r>
      <w:r>
        <w:rPr>
          <w:color w:val="FF0000"/>
        </w:rPr>
        <w:t>and</w:t>
      </w:r>
      <w:r>
        <w:rPr>
          <w:color w:val="FF0000"/>
          <w:spacing w:val="-6"/>
        </w:rPr>
        <w:t> </w:t>
      </w:r>
      <w:r>
        <w:rPr>
          <w:color w:val="FF0000"/>
        </w:rPr>
        <w:t>bodies/agencies</w:t>
      </w:r>
      <w:r>
        <w:rPr>
          <w:color w:val="FF0000"/>
          <w:spacing w:val="-7"/>
        </w:rPr>
        <w:t> </w:t>
      </w:r>
      <w:r>
        <w:rPr>
          <w:color w:val="FF0000"/>
          <w:u w:val="single" w:color="FF0000"/>
        </w:rPr>
        <w:t>with</w:t>
      </w:r>
      <w:r>
        <w:rPr>
          <w:color w:val="FF0000"/>
          <w:spacing w:val="-6"/>
          <w:u w:val="none"/>
        </w:rPr>
        <w:t> </w:t>
      </w:r>
      <w:r>
        <w:rPr>
          <w:color w:val="FF0000"/>
          <w:u w:val="none"/>
        </w:rPr>
        <w:t>legal</w:t>
      </w:r>
      <w:r>
        <w:rPr>
          <w:color w:val="FF0000"/>
          <w:spacing w:val="-6"/>
          <w:u w:val="none"/>
        </w:rPr>
        <w:t> </w:t>
      </w:r>
      <w:r>
        <w:rPr>
          <w:color w:val="FF0000"/>
          <w:u w:val="none"/>
        </w:rPr>
        <w:t>personality</w:t>
      </w:r>
      <w:r>
        <w:rPr>
          <w:color w:val="FF0000"/>
          <w:spacing w:val="-6"/>
          <w:u w:val="none"/>
        </w:rPr>
        <w:t> </w:t>
      </w:r>
      <w:r>
        <w:rPr>
          <w:color w:val="FF0000"/>
          <w:u w:val="none"/>
        </w:rPr>
        <w:t>–</w:t>
      </w:r>
      <w:r>
        <w:rPr>
          <w:color w:val="FF0000"/>
          <w:spacing w:val="-6"/>
          <w:u w:val="none"/>
        </w:rPr>
        <w:t> </w:t>
      </w:r>
      <w:r>
        <w:rPr>
          <w:color w:val="FF0000"/>
          <w:u w:val="none"/>
        </w:rPr>
        <w:t>LT (NB: The Commission’s executive agencies have their own liminary pages.)</w:t>
      </w:r>
    </w:p>
    <w:p>
      <w:pPr>
        <w:pStyle w:val="BodyText"/>
        <w:spacing w:before="92"/>
      </w:pPr>
    </w:p>
    <w:p>
      <w:pPr>
        <w:spacing w:before="0"/>
        <w:ind w:left="160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[spaustuvė]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[šalis]</w:t>
      </w:r>
    </w:p>
    <w:p>
      <w:pPr>
        <w:pStyle w:val="BodyText"/>
        <w:spacing w:before="98"/>
        <w:rPr>
          <w:i/>
        </w:rPr>
      </w:pPr>
    </w:p>
    <w:p>
      <w:pPr>
        <w:pStyle w:val="BodyText"/>
        <w:spacing w:before="1"/>
        <w:ind w:left="160"/>
      </w:pPr>
      <w:r>
        <w:rPr/>
        <w:t>Rankraštis</w:t>
      </w:r>
      <w:r>
        <w:rPr>
          <w:spacing w:val="-3"/>
        </w:rPr>
        <w:t> </w:t>
      </w:r>
      <w:r>
        <w:rPr/>
        <w:t>parengtas</w:t>
      </w:r>
      <w:r>
        <w:rPr>
          <w:spacing w:val="-3"/>
        </w:rPr>
        <w:t> </w:t>
      </w:r>
      <w:r>
        <w:rPr/>
        <w:t>[metai]</w:t>
      </w:r>
      <w:r>
        <w:rPr>
          <w:spacing w:val="-3"/>
        </w:rPr>
        <w:t> </w:t>
      </w:r>
      <w:r>
        <w:rPr>
          <w:spacing w:val="-2"/>
        </w:rPr>
        <w:t>[mėnuo]</w:t>
      </w:r>
    </w:p>
    <w:p>
      <w:pPr>
        <w:pStyle w:val="BodyText"/>
        <w:spacing w:line="560" w:lineRule="atLeast"/>
        <w:ind w:left="160" w:right="4284"/>
      </w:pPr>
      <w:r>
        <w:rPr/>
        <w:t>Pataisytasis</w:t>
      </w:r>
      <w:r>
        <w:rPr>
          <w:spacing w:val="-6"/>
        </w:rPr>
        <w:t> </w:t>
      </w:r>
      <w:r>
        <w:rPr/>
        <w:t>leidimas</w:t>
      </w:r>
      <w:r>
        <w:rPr>
          <w:spacing w:val="-7"/>
        </w:rPr>
        <w:t> </w:t>
      </w:r>
      <w:r>
        <w:rPr/>
        <w:t>/</w:t>
      </w:r>
      <w:r>
        <w:rPr>
          <w:spacing w:val="-6"/>
        </w:rPr>
        <w:t> </w:t>
      </w:r>
      <w:r>
        <w:rPr/>
        <w:t>Ištaisytasis</w:t>
      </w:r>
      <w:r>
        <w:rPr>
          <w:spacing w:val="-6"/>
        </w:rPr>
        <w:t> </w:t>
      </w:r>
      <w:r>
        <w:rPr/>
        <w:t>leidimas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>
          <w:i/>
        </w:rPr>
        <w:t>n</w:t>
      </w:r>
      <w:r>
        <w:rPr/>
        <w:t>-asis</w:t>
      </w:r>
      <w:r>
        <w:rPr>
          <w:spacing w:val="-6"/>
        </w:rPr>
        <w:t> </w:t>
      </w:r>
      <w:r>
        <w:rPr/>
        <w:t>leidimas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244" w:lineRule="auto" w:before="100"/>
        <w:ind w:left="160"/>
      </w:pPr>
      <w:r>
        <w:rPr/>
        <w:t>Neturėtų</w:t>
      </w:r>
      <w:r>
        <w:rPr>
          <w:spacing w:val="-4"/>
        </w:rPr>
        <w:t> </w:t>
      </w:r>
      <w:r>
        <w:rPr/>
        <w:t>būti</w:t>
      </w:r>
      <w:r>
        <w:rPr>
          <w:spacing w:val="-4"/>
        </w:rPr>
        <w:t> </w:t>
      </w:r>
      <w:r>
        <w:rPr/>
        <w:t>laikoma,</w:t>
      </w:r>
      <w:r>
        <w:rPr>
          <w:spacing w:val="-4"/>
        </w:rPr>
        <w:t> </w:t>
      </w:r>
      <w:r>
        <w:rPr/>
        <w:t>kad</w:t>
      </w:r>
      <w:r>
        <w:rPr>
          <w:spacing w:val="-4"/>
        </w:rPr>
        <w:t> </w:t>
      </w:r>
      <w:r>
        <w:rPr/>
        <w:t>šiuo</w:t>
      </w:r>
      <w:r>
        <w:rPr>
          <w:spacing w:val="-4"/>
        </w:rPr>
        <w:t> </w:t>
      </w:r>
      <w:r>
        <w:rPr/>
        <w:t>dokumentu</w:t>
      </w:r>
      <w:r>
        <w:rPr>
          <w:spacing w:val="-4"/>
        </w:rPr>
        <w:t> </w:t>
      </w:r>
      <w:r>
        <w:rPr/>
        <w:t>išreiškiama</w:t>
      </w:r>
      <w:r>
        <w:rPr>
          <w:spacing w:val="-4"/>
        </w:rPr>
        <w:t> </w:t>
      </w:r>
      <w:r>
        <w:rPr/>
        <w:t>oficiali</w:t>
      </w:r>
      <w:r>
        <w:rPr>
          <w:spacing w:val="-4"/>
        </w:rPr>
        <w:t> </w:t>
      </w:r>
      <w:r>
        <w:rPr/>
        <w:t>[Europos</w:t>
      </w:r>
      <w:r>
        <w:rPr>
          <w:spacing w:val="-4"/>
        </w:rPr>
        <w:t> </w:t>
      </w:r>
      <w:r>
        <w:rPr/>
        <w:t>Centrinis</w:t>
      </w:r>
      <w:r>
        <w:rPr>
          <w:spacing w:val="-4"/>
        </w:rPr>
        <w:t> </w:t>
      </w:r>
      <w:r>
        <w:rPr/>
        <w:t>Bankas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įstaigos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agentūros] </w:t>
      </w:r>
      <w:r>
        <w:rPr>
          <w:spacing w:val="-2"/>
        </w:rPr>
        <w:t>pozicija.</w:t>
      </w:r>
    </w:p>
    <w:p>
      <w:pPr>
        <w:pStyle w:val="BodyText"/>
        <w:spacing w:line="558" w:lineRule="exact" w:before="64"/>
        <w:ind w:left="160" w:right="4284"/>
      </w:pPr>
      <w:r>
        <w:rPr/>
        <w:t>Liuksemburgas:</w:t>
      </w:r>
      <w:r>
        <w:rPr>
          <w:spacing w:val="-8"/>
        </w:rPr>
        <w:t> </w:t>
      </w:r>
      <w:r>
        <w:rPr/>
        <w:t>Europos</w:t>
      </w:r>
      <w:r>
        <w:rPr>
          <w:spacing w:val="-8"/>
        </w:rPr>
        <w:t> </w:t>
      </w:r>
      <w:r>
        <w:rPr/>
        <w:t>Sąjungos</w:t>
      </w:r>
      <w:r>
        <w:rPr>
          <w:spacing w:val="-8"/>
        </w:rPr>
        <w:t> </w:t>
      </w:r>
      <w:r>
        <w:rPr/>
        <w:t>leidinių</w:t>
      </w:r>
      <w:r>
        <w:rPr>
          <w:spacing w:val="-8"/>
        </w:rPr>
        <w:t> </w:t>
      </w:r>
      <w:r>
        <w:rPr/>
        <w:t>biuras,</w:t>
      </w:r>
      <w:r>
        <w:rPr>
          <w:spacing w:val="-8"/>
        </w:rPr>
        <w:t> </w:t>
      </w:r>
      <w:r>
        <w:rPr/>
        <w:t>[metai] </w:t>
      </w:r>
      <w:r>
        <w:rPr>
          <w:color w:val="FF0000"/>
        </w:rPr>
        <w:t>Default notice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2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348" w:lineRule="auto" w:before="34"/>
        <w:ind w:left="160" w:right="328"/>
      </w:pPr>
      <w:r>
        <w:rPr/>
        <w:t>©</w:t>
      </w:r>
      <w:r>
        <w:rPr>
          <w:spacing w:val="-3"/>
        </w:rPr>
        <w:t> </w:t>
      </w:r>
      <w:r>
        <w:rPr/>
        <w:t>[Europos</w:t>
      </w:r>
      <w:r>
        <w:rPr>
          <w:spacing w:val="-3"/>
        </w:rPr>
        <w:t> </w:t>
      </w:r>
      <w:r>
        <w:rPr/>
        <w:t>Centrinis</w:t>
      </w:r>
      <w:r>
        <w:rPr>
          <w:spacing w:val="-3"/>
        </w:rPr>
        <w:t> </w:t>
      </w:r>
      <w:r>
        <w:rPr/>
        <w:t>Bankas</w:t>
      </w:r>
      <w:r>
        <w:rPr>
          <w:spacing w:val="-4"/>
        </w:rPr>
        <w:t> </w:t>
      </w:r>
      <w:r>
        <w:rPr/>
        <w:t>/</w:t>
      </w:r>
      <w:r>
        <w:rPr>
          <w:spacing w:val="-3"/>
        </w:rPr>
        <w:t> </w:t>
      </w:r>
      <w:r>
        <w:rPr/>
        <w:t>įstaiga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agentūra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Europos</w:t>
      </w:r>
      <w:r>
        <w:rPr>
          <w:spacing w:val="-3"/>
        </w:rPr>
        <w:t> </w:t>
      </w:r>
      <w:r>
        <w:rPr/>
        <w:t>atominės</w:t>
      </w:r>
      <w:r>
        <w:rPr>
          <w:spacing w:val="-3"/>
        </w:rPr>
        <w:t> </w:t>
      </w:r>
      <w:r>
        <w:rPr/>
        <w:t>energijos</w:t>
      </w:r>
      <w:r>
        <w:rPr>
          <w:spacing w:val="-3"/>
        </w:rPr>
        <w:t> </w:t>
      </w:r>
      <w:r>
        <w:rPr/>
        <w:t>bendrija</w:t>
      </w:r>
      <w:r>
        <w:rPr>
          <w:spacing w:val="-4"/>
        </w:rPr>
        <w:t> </w:t>
      </w:r>
      <w:r>
        <w:rPr/>
        <w:t>/</w:t>
      </w:r>
      <w:r>
        <w:rPr>
          <w:spacing w:val="-3"/>
        </w:rPr>
        <w:t> </w:t>
      </w:r>
      <w:r>
        <w:rPr/>
        <w:t>kt.],</w:t>
      </w:r>
      <w:r>
        <w:rPr>
          <w:spacing w:val="-3"/>
        </w:rPr>
        <w:t> </w:t>
      </w:r>
      <w:r>
        <w:rPr/>
        <w:t>[metai] Leidžiama atgaminti nurodžius šaltinį.</w:t>
      </w:r>
    </w:p>
    <w:p>
      <w:pPr>
        <w:pStyle w:val="BodyText"/>
        <w:spacing w:before="225"/>
        <w:ind w:left="160"/>
        <w:jc w:val="both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60" w:right="481"/>
        <w:jc w:val="both"/>
      </w:pPr>
      <w:r>
        <w:rPr/>
        <w:t>Norint</w:t>
      </w:r>
      <w:r>
        <w:rPr>
          <w:spacing w:val="-4"/>
        </w:rPr>
        <w:t> </w:t>
      </w:r>
      <w:r>
        <w:rPr/>
        <w:t>naudoti</w:t>
      </w:r>
      <w:r>
        <w:rPr>
          <w:spacing w:val="-4"/>
        </w:rPr>
        <w:t> </w:t>
      </w:r>
      <w:r>
        <w:rPr/>
        <w:t>ar</w:t>
      </w:r>
      <w:r>
        <w:rPr>
          <w:spacing w:val="-4"/>
        </w:rPr>
        <w:t> </w:t>
      </w:r>
      <w:r>
        <w:rPr/>
        <w:t>atgaminti</w:t>
      </w:r>
      <w:r>
        <w:rPr>
          <w:spacing w:val="-4"/>
        </w:rPr>
        <w:t> </w:t>
      </w:r>
      <w:r>
        <w:rPr/>
        <w:t>elementus,</w:t>
      </w:r>
      <w:r>
        <w:rPr>
          <w:spacing w:val="-4"/>
        </w:rPr>
        <w:t> </w:t>
      </w:r>
      <w:r>
        <w:rPr/>
        <w:t>kurių</w:t>
      </w:r>
      <w:r>
        <w:rPr>
          <w:spacing w:val="-4"/>
        </w:rPr>
        <w:t> </w:t>
      </w:r>
      <w:r>
        <w:rPr/>
        <w:t>autorių</w:t>
      </w:r>
      <w:r>
        <w:rPr>
          <w:spacing w:val="-4"/>
        </w:rPr>
        <w:t> </w:t>
      </w:r>
      <w:r>
        <w:rPr/>
        <w:t>teisės</w:t>
      </w:r>
      <w:r>
        <w:rPr>
          <w:spacing w:val="-4"/>
        </w:rPr>
        <w:t> </w:t>
      </w:r>
      <w:r>
        <w:rPr/>
        <w:t>nepriklauso</w:t>
      </w:r>
      <w:r>
        <w:rPr>
          <w:spacing w:val="-4"/>
        </w:rPr>
        <w:t> </w:t>
      </w:r>
      <w:r>
        <w:rPr/>
        <w:t>[Europos</w:t>
      </w:r>
      <w:r>
        <w:rPr>
          <w:spacing w:val="-4"/>
        </w:rPr>
        <w:t> </w:t>
      </w:r>
      <w:r>
        <w:rPr/>
        <w:t>Centrinis</w:t>
      </w:r>
      <w:r>
        <w:rPr>
          <w:spacing w:val="-4"/>
        </w:rPr>
        <w:t> </w:t>
      </w:r>
      <w:r>
        <w:rPr/>
        <w:t>Bankas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įstaiga</w:t>
      </w:r>
      <w:r>
        <w:rPr>
          <w:spacing w:val="-4"/>
        </w:rPr>
        <w:t> </w:t>
      </w:r>
      <w:r>
        <w:rPr/>
        <w:t>/ agentūra], gali reikėti gauti tiesioginį atitinkamų teisių turėtojų leidimą. [Europos Centrinis Bankas / įstaiga / agentūra] nepriklauso šių elementų autorių teisės: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99" w:after="0"/>
        <w:ind w:left="880" w:right="0" w:hanging="380"/>
        <w:jc w:val="both"/>
        <w:rPr>
          <w:sz w:val="20"/>
        </w:rPr>
      </w:pPr>
      <w:r>
        <w:rPr>
          <w:sz w:val="20"/>
        </w:rPr>
        <w:t>viršelis,</w:t>
      </w:r>
      <w:r>
        <w:rPr>
          <w:spacing w:val="-7"/>
          <w:sz w:val="20"/>
        </w:rPr>
        <w:t> </w:t>
      </w:r>
      <w:r>
        <w:rPr>
          <w:sz w:val="20"/>
        </w:rPr>
        <w:t>[atitinkamas</w:t>
      </w:r>
      <w:r>
        <w:rPr>
          <w:spacing w:val="-7"/>
          <w:sz w:val="20"/>
        </w:rPr>
        <w:t> </w:t>
      </w:r>
      <w:r>
        <w:rPr>
          <w:sz w:val="20"/>
        </w:rPr>
        <w:t>elementas],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šaltinis:</w:t>
      </w:r>
      <w:r>
        <w:rPr>
          <w:i/>
          <w:spacing w:val="-6"/>
          <w:sz w:val="20"/>
        </w:rPr>
        <w:t> </w:t>
      </w:r>
      <w:r>
        <w:rPr>
          <w:sz w:val="20"/>
        </w:rPr>
        <w:t>pvz.,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4" w:after="0"/>
        <w:ind w:left="880" w:right="0" w:hanging="380"/>
        <w:jc w:val="both"/>
        <w:rPr>
          <w:sz w:val="20"/>
        </w:rPr>
      </w:pPr>
      <w:r>
        <w:rPr>
          <w:sz w:val="20"/>
        </w:rPr>
        <w:t>puslapis</w:t>
      </w:r>
      <w:r>
        <w:rPr>
          <w:spacing w:val="-6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[atitinkamas</w:t>
      </w:r>
      <w:r>
        <w:rPr>
          <w:spacing w:val="-6"/>
          <w:sz w:val="20"/>
        </w:rPr>
        <w:t> </w:t>
      </w:r>
      <w:r>
        <w:rPr>
          <w:sz w:val="20"/>
        </w:rPr>
        <w:t>elementas],</w:t>
      </w:r>
      <w:r>
        <w:rPr>
          <w:spacing w:val="-5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šaltinis:</w:t>
      </w:r>
      <w:r>
        <w:rPr>
          <w:i/>
          <w:spacing w:val="-5"/>
          <w:sz w:val="20"/>
        </w:rPr>
        <w:t> </w:t>
      </w:r>
      <w:r>
        <w:rPr>
          <w:sz w:val="20"/>
        </w:rPr>
        <w:t>pvz.,</w:t>
      </w:r>
      <w:r>
        <w:rPr>
          <w:spacing w:val="-6"/>
          <w:sz w:val="20"/>
        </w:rPr>
        <w:t> </w:t>
      </w:r>
      <w:r>
        <w:rPr>
          <w:sz w:val="20"/>
        </w:rPr>
        <w:t>Fotolia.com],</w:t>
      </w:r>
      <w:r>
        <w:rPr>
          <w:spacing w:val="-5"/>
          <w:sz w:val="20"/>
        </w:rPr>
        <w:t> </w:t>
      </w:r>
      <w:r>
        <w:rPr>
          <w:sz w:val="20"/>
        </w:rPr>
        <w:t>[autorius],</w:t>
      </w:r>
      <w:r>
        <w:rPr>
          <w:spacing w:val="-6"/>
          <w:sz w:val="20"/>
        </w:rPr>
        <w:t> </w:t>
      </w:r>
      <w:r>
        <w:rPr>
          <w:sz w:val="20"/>
        </w:rPr>
        <w:t>visos</w:t>
      </w:r>
      <w:r>
        <w:rPr>
          <w:spacing w:val="-5"/>
          <w:sz w:val="20"/>
        </w:rPr>
        <w:t> </w:t>
      </w:r>
      <w:r>
        <w:rPr>
          <w:sz w:val="20"/>
        </w:rPr>
        <w:t>teisės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saugomos,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4" w:after="0"/>
        <w:ind w:left="880" w:right="842" w:hanging="380"/>
        <w:jc w:val="left"/>
        <w:rPr>
          <w:sz w:val="20"/>
        </w:rPr>
      </w:pPr>
      <w:r>
        <w:rPr>
          <w:sz w:val="20"/>
        </w:rPr>
        <w:t>puslapis</w:t>
      </w:r>
      <w:r>
        <w:rPr>
          <w:spacing w:val="-5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[atitinkamas</w:t>
      </w:r>
      <w:r>
        <w:rPr>
          <w:spacing w:val="-5"/>
          <w:sz w:val="20"/>
        </w:rPr>
        <w:t> </w:t>
      </w:r>
      <w:r>
        <w:rPr>
          <w:sz w:val="20"/>
        </w:rPr>
        <w:t>elementas],</w:t>
      </w:r>
      <w:r>
        <w:rPr>
          <w:spacing w:val="-5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šaltinis:</w:t>
      </w:r>
      <w:r>
        <w:rPr>
          <w:i/>
          <w:spacing w:val="-4"/>
          <w:sz w:val="20"/>
        </w:rPr>
        <w:t> </w:t>
      </w:r>
      <w:r>
        <w:rPr>
          <w:sz w:val="20"/>
        </w:rPr>
        <w:t>pvz.,</w:t>
      </w:r>
      <w:r>
        <w:rPr>
          <w:spacing w:val="-5"/>
          <w:sz w:val="20"/>
        </w:rPr>
        <w:t> </w:t>
      </w:r>
      <w:r>
        <w:rPr>
          <w:sz w:val="20"/>
        </w:rPr>
        <w:t>Getty</w:t>
      </w:r>
      <w:r>
        <w:rPr>
          <w:spacing w:val="-5"/>
          <w:sz w:val="20"/>
        </w:rPr>
        <w:t> </w:t>
      </w:r>
      <w:r>
        <w:rPr>
          <w:sz w:val="20"/>
        </w:rPr>
        <w:t>Images],</w:t>
      </w:r>
      <w:r>
        <w:rPr>
          <w:spacing w:val="-5"/>
          <w:sz w:val="20"/>
        </w:rPr>
        <w:t> </w:t>
      </w:r>
      <w:r>
        <w:rPr>
          <w:sz w:val="20"/>
        </w:rPr>
        <w:t>[autorius],</w:t>
      </w:r>
      <w:r>
        <w:rPr>
          <w:spacing w:val="-5"/>
          <w:sz w:val="20"/>
        </w:rPr>
        <w:t> </w:t>
      </w:r>
      <w:r>
        <w:rPr>
          <w:sz w:val="20"/>
        </w:rPr>
        <w:t>licencijuota</w:t>
      </w:r>
      <w:r>
        <w:rPr>
          <w:spacing w:val="-5"/>
          <w:sz w:val="20"/>
        </w:rPr>
        <w:t> </w:t>
      </w:r>
      <w:r>
        <w:rPr>
          <w:sz w:val="20"/>
        </w:rPr>
        <w:t>pagal licenciją CC BY 2.0 [+ nuoroda į licenciją],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3" w:after="0"/>
        <w:ind w:left="880" w:right="0" w:hanging="380"/>
        <w:jc w:val="left"/>
        <w:rPr>
          <w:sz w:val="20"/>
        </w:rPr>
      </w:pPr>
      <w:r>
        <w:rPr>
          <w:sz w:val="20"/>
        </w:rPr>
        <w:t>[iliustracija</w:t>
      </w:r>
      <w:r>
        <w:rPr>
          <w:spacing w:val="-7"/>
          <w:sz w:val="20"/>
        </w:rPr>
        <w:t> </w:t>
      </w:r>
      <w:r>
        <w:rPr>
          <w:sz w:val="20"/>
        </w:rPr>
        <w:t>/</w:t>
      </w:r>
      <w:r>
        <w:rPr>
          <w:spacing w:val="-5"/>
          <w:sz w:val="20"/>
        </w:rPr>
        <w:t> </w:t>
      </w:r>
      <w:r>
        <w:rPr>
          <w:sz w:val="20"/>
        </w:rPr>
        <w:t>nuotrauka</w:t>
      </w:r>
      <w:r>
        <w:rPr>
          <w:spacing w:val="-5"/>
          <w:sz w:val="20"/>
        </w:rPr>
        <w:t> </w:t>
      </w:r>
      <w:r>
        <w:rPr>
          <w:sz w:val="20"/>
        </w:rPr>
        <w:t>/</w:t>
      </w:r>
      <w:r>
        <w:rPr>
          <w:spacing w:val="-5"/>
          <w:sz w:val="20"/>
        </w:rPr>
        <w:t> </w:t>
      </w:r>
      <w:r>
        <w:rPr>
          <w:sz w:val="20"/>
        </w:rPr>
        <w:t>kt.],</w:t>
      </w:r>
      <w:r>
        <w:rPr>
          <w:spacing w:val="-5"/>
          <w:sz w:val="20"/>
        </w:rPr>
        <w:t> </w:t>
      </w:r>
      <w:r>
        <w:rPr>
          <w:sz w:val="20"/>
        </w:rPr>
        <w:t>p.</w:t>
      </w:r>
      <w:r>
        <w:rPr>
          <w:spacing w:val="-5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©</w:t>
      </w:r>
      <w:r>
        <w:rPr>
          <w:spacing w:val="-5"/>
          <w:sz w:val="20"/>
        </w:rPr>
        <w:t> </w:t>
      </w:r>
      <w:r>
        <w:rPr>
          <w:sz w:val="20"/>
        </w:rPr>
        <w:t>[menininko</w:t>
      </w:r>
      <w:r>
        <w:rPr>
          <w:spacing w:val="-5"/>
          <w:sz w:val="20"/>
        </w:rPr>
        <w:t> </w:t>
      </w:r>
      <w:r>
        <w:rPr>
          <w:sz w:val="20"/>
        </w:rPr>
        <w:t>vardas,</w:t>
      </w:r>
      <w:r>
        <w:rPr>
          <w:spacing w:val="-5"/>
          <w:sz w:val="20"/>
        </w:rPr>
        <w:t> </w:t>
      </w:r>
      <w:r>
        <w:rPr>
          <w:sz w:val="20"/>
        </w:rPr>
        <w:t>pavardė],</w:t>
      </w:r>
      <w:r>
        <w:rPr>
          <w:spacing w:val="-5"/>
          <w:sz w:val="20"/>
        </w:rPr>
        <w:t> </w:t>
      </w:r>
      <w:r>
        <w:rPr>
          <w:sz w:val="20"/>
        </w:rPr>
        <w:t>[metai],</w:t>
      </w:r>
      <w:r>
        <w:rPr>
          <w:spacing w:val="-5"/>
          <w:sz w:val="20"/>
        </w:rPr>
        <w:t> </w:t>
      </w:r>
      <w:r>
        <w:rPr>
          <w:sz w:val="20"/>
        </w:rPr>
        <w:t>visos</w:t>
      </w:r>
      <w:r>
        <w:rPr>
          <w:spacing w:val="-5"/>
          <w:sz w:val="20"/>
        </w:rPr>
        <w:t> </w:t>
      </w:r>
      <w:r>
        <w:rPr>
          <w:sz w:val="20"/>
        </w:rPr>
        <w:t>teisės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saugomos.</w:t>
      </w:r>
    </w:p>
    <w:p>
      <w:pPr>
        <w:pStyle w:val="BodyText"/>
        <w:spacing w:before="98"/>
      </w:pPr>
    </w:p>
    <w:p>
      <w:pPr>
        <w:pStyle w:val="BodyText"/>
        <w:ind w:left="160"/>
        <w:jc w:val="both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60" w:right="481"/>
        <w:jc w:val="both"/>
      </w:pPr>
      <w:r>
        <w:rPr/>
        <w:t>Norint</w:t>
      </w:r>
      <w:r>
        <w:rPr>
          <w:spacing w:val="-4"/>
        </w:rPr>
        <w:t> </w:t>
      </w:r>
      <w:r>
        <w:rPr/>
        <w:t>naudoti</w:t>
      </w:r>
      <w:r>
        <w:rPr>
          <w:spacing w:val="-4"/>
        </w:rPr>
        <w:t> </w:t>
      </w:r>
      <w:r>
        <w:rPr/>
        <w:t>ar</w:t>
      </w:r>
      <w:r>
        <w:rPr>
          <w:spacing w:val="-4"/>
        </w:rPr>
        <w:t> </w:t>
      </w:r>
      <w:r>
        <w:rPr/>
        <w:t>atgaminti</w:t>
      </w:r>
      <w:r>
        <w:rPr>
          <w:spacing w:val="-4"/>
        </w:rPr>
        <w:t> </w:t>
      </w:r>
      <w:r>
        <w:rPr/>
        <w:t>elementus,</w:t>
      </w:r>
      <w:r>
        <w:rPr>
          <w:spacing w:val="-4"/>
        </w:rPr>
        <w:t> </w:t>
      </w:r>
      <w:r>
        <w:rPr/>
        <w:t>kurių</w:t>
      </w:r>
      <w:r>
        <w:rPr>
          <w:spacing w:val="-4"/>
        </w:rPr>
        <w:t> </w:t>
      </w:r>
      <w:r>
        <w:rPr/>
        <w:t>autorių</w:t>
      </w:r>
      <w:r>
        <w:rPr>
          <w:spacing w:val="-4"/>
        </w:rPr>
        <w:t> </w:t>
      </w:r>
      <w:r>
        <w:rPr/>
        <w:t>teisės</w:t>
      </w:r>
      <w:r>
        <w:rPr>
          <w:spacing w:val="-4"/>
        </w:rPr>
        <w:t> </w:t>
      </w:r>
      <w:r>
        <w:rPr/>
        <w:t>nepriklauso</w:t>
      </w:r>
      <w:r>
        <w:rPr>
          <w:spacing w:val="-4"/>
        </w:rPr>
        <w:t> </w:t>
      </w:r>
      <w:r>
        <w:rPr/>
        <w:t>[Europos</w:t>
      </w:r>
      <w:r>
        <w:rPr>
          <w:spacing w:val="-4"/>
        </w:rPr>
        <w:t> </w:t>
      </w:r>
      <w:r>
        <w:rPr/>
        <w:t>Centrinis</w:t>
      </w:r>
      <w:r>
        <w:rPr>
          <w:spacing w:val="-4"/>
        </w:rPr>
        <w:t> </w:t>
      </w:r>
      <w:r>
        <w:rPr/>
        <w:t>Bankas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įstaiga</w:t>
      </w:r>
      <w:r>
        <w:rPr>
          <w:spacing w:val="-4"/>
        </w:rPr>
        <w:t> </w:t>
      </w:r>
      <w:r>
        <w:rPr/>
        <w:t>/ agentūra], gali reikėti gauti tiesioginį atitinkamų teisių turėtojų leidimą.</w:t>
      </w:r>
    </w:p>
    <w:p>
      <w:pPr>
        <w:pStyle w:val="BodyText"/>
        <w:spacing w:before="127"/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"/>
        <w:gridCol w:w="3078"/>
        <w:gridCol w:w="2488"/>
        <w:gridCol w:w="2225"/>
      </w:tblGrid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3078" w:type="dxa"/>
          </w:tcPr>
          <w:p>
            <w:pPr>
              <w:pStyle w:val="TableParagraph"/>
              <w:spacing w:line="223" w:lineRule="exact" w:before="0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23" w:lineRule="exact" w:before="0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23" w:lineRule="exact" w:before="0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6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3078" w:type="dxa"/>
          </w:tcPr>
          <w:p>
            <w:pPr>
              <w:pStyle w:val="TableParagraph"/>
              <w:spacing w:line="210" w:lineRule="exact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10" w:lineRule="exact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10" w:lineRule="exact"/>
              <w:ind w:right="4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9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647992</wp:posOffset>
                </wp:positionH>
                <wp:positionV relativeFrom="paragraph">
                  <wp:posOffset>186174</wp:posOffset>
                </wp:positionV>
                <wp:extent cx="1676400" cy="4445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676400" cy="4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0" h="4445">
                              <a:moveTo>
                                <a:pt x="1676019" y="3975"/>
                              </a:moveTo>
                              <a:lnTo>
                                <a:pt x="0" y="3975"/>
                              </a:lnTo>
                              <a:lnTo>
                                <a:pt x="0" y="0"/>
                              </a:lnTo>
                              <a:lnTo>
                                <a:pt x="1676019" y="0"/>
                              </a:lnTo>
                              <a:lnTo>
                                <a:pt x="1676019" y="39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.022999pt;margin-top:14.659382pt;width:131.970001pt;height:.31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4" w:lineRule="auto" w:before="131" w:after="0"/>
        <w:ind w:left="460" w:right="422" w:hanging="300"/>
        <w:jc w:val="left"/>
        <w:rPr>
          <w:rFonts w:ascii="Gill Sans MT"/>
          <w:sz w:val="18"/>
        </w:rPr>
      </w:pPr>
      <w:bookmarkStart w:name="_bookmark2" w:id="4"/>
      <w:bookmarkEnd w:id="4"/>
      <w:r>
        <w:rPr/>
      </w:r>
      <w:r>
        <w:rPr>
          <w:rFonts w:ascii="Gill Sans MT"/>
          <w:w w:val="105"/>
          <w:position w:val="1"/>
          <w:sz w:val="18"/>
        </w:rPr>
        <w:t>Disclaimer to be used if necessary. See other possible disclaimers in the </w:t>
      </w:r>
      <w:r>
        <w:rPr>
          <w:i/>
          <w:w w:val="105"/>
          <w:position w:val="1"/>
          <w:sz w:val="18"/>
        </w:rPr>
        <w:t>Interinstitutional Style Guide </w:t>
      </w:r>
      <w:r>
        <w:rPr>
          <w:rFonts w:ascii="Gill Sans MT"/>
          <w:w w:val="105"/>
          <w:position w:val="1"/>
          <w:sz w:val="18"/>
        </w:rPr>
        <w:t>(</w:t>
      </w:r>
      <w:hyperlink r:id="rId5">
        <w:r>
          <w:rPr>
            <w:rFonts w:ascii="Gill Sans MT"/>
            <w:color w:val="337AB7"/>
            <w:w w:val="105"/>
            <w:position w:val="1"/>
            <w:sz w:val="18"/>
            <w:u w:val="single" w:color="337AB7"/>
          </w:rPr>
          <w:t>Section 5.4.4.</w:t>
        </w:r>
      </w:hyperlink>
      <w:r>
        <w:rPr>
          <w:rFonts w:ascii="Gill Sans MT"/>
          <w:color w:val="337AB7"/>
          <w:w w:val="105"/>
          <w:position w:val="1"/>
          <w:sz w:val="18"/>
          <w:u w:val="none"/>
        </w:rPr>
        <w:t> </w:t>
      </w:r>
      <w:bookmarkStart w:name="_bookmark3" w:id="5"/>
      <w:bookmarkEnd w:id="5"/>
      <w:r>
        <w:rPr>
          <w:rFonts w:ascii="Gill Sans MT"/>
          <w:color w:val="337AB7"/>
          <w:spacing w:val="-1"/>
          <w:w w:val="114"/>
          <w:position w:val="1"/>
          <w:sz w:val="18"/>
          <w:u w:val="none"/>
        </w:rPr>
      </w:r>
      <w:hyperlink r:id="rId5">
        <w:r>
          <w:rPr>
            <w:rFonts w:ascii="Gill Sans MT"/>
            <w:color w:val="337AB7"/>
            <w:w w:val="105"/>
            <w:sz w:val="18"/>
            <w:u w:val="single" w:color="337AB7"/>
          </w:rPr>
          <w:t>Other diclaimers</w:t>
        </w:r>
      </w:hyperlink>
      <w:r>
        <w:rPr>
          <w:rFonts w:ascii="Gill Sans MT"/>
          <w:w w:val="105"/>
          <w:sz w:val="18"/>
          <w:u w:val="none"/>
        </w:rPr>
        <w:t>) or in the </w:t>
      </w:r>
      <w:hyperlink r:id="rId6">
        <w:r>
          <w:rPr>
            <w:rFonts w:ascii="Gill Sans MT"/>
            <w:color w:val="337AB7"/>
            <w:w w:val="105"/>
            <w:sz w:val="18"/>
            <w:u w:val="single" w:color="337AB7"/>
          </w:rPr>
          <w:t>Quick Reference Guide</w:t>
        </w:r>
      </w:hyperlink>
      <w:r>
        <w:rPr>
          <w:rFonts w:ascii="Gill Sans MT"/>
          <w:color w:val="337AB7"/>
          <w:w w:val="105"/>
          <w:sz w:val="18"/>
          <w:u w:val="none"/>
        </w:rPr>
        <w:t> </w:t>
      </w:r>
      <w:r>
        <w:rPr>
          <w:rFonts w:ascii="Gill Sans MT"/>
          <w:w w:val="105"/>
          <w:sz w:val="18"/>
          <w:u w:val="none"/>
        </w:rPr>
        <w:t>(in English).</w: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6" w:lineRule="auto" w:before="44" w:after="0"/>
        <w:ind w:left="460" w:right="236" w:hanging="300"/>
        <w:jc w:val="left"/>
        <w:rPr>
          <w:rFonts w:ascii="Gill Sans MT"/>
          <w:sz w:val="18"/>
        </w:rPr>
      </w:pPr>
      <w:r>
        <w:rPr>
          <w:rFonts w:ascii="Gill Sans MT"/>
          <w:w w:val="110"/>
          <w:position w:val="1"/>
          <w:sz w:val="18"/>
        </w:rPr>
        <w:t>This is the standard copyright notice. Agencies and bodies applying an opener reuse policy or licensing their </w:t>
      </w:r>
      <w:r>
        <w:rPr>
          <w:rFonts w:ascii="Gill Sans MT"/>
          <w:w w:val="110"/>
          <w:sz w:val="18"/>
        </w:rPr>
        <w:t>publications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under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a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Creative-Commons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licence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may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take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inspiration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from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the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Commission's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liminary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pages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or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contact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OP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copyright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service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for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advice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(</w:t>
      </w:r>
      <w:hyperlink r:id="rId7">
        <w:r>
          <w:rPr>
            <w:rFonts w:ascii="Gill Sans MT"/>
            <w:color w:val="337AB7"/>
            <w:spacing w:val="-2"/>
            <w:w w:val="110"/>
            <w:sz w:val="18"/>
            <w:u w:val="single" w:color="337AB7"/>
          </w:rPr>
          <w:t>OP-COPYRIGHT@publications.europa.eu</w:t>
        </w:r>
      </w:hyperlink>
      <w:r>
        <w:rPr>
          <w:rFonts w:ascii="Gill Sans MT"/>
          <w:spacing w:val="-2"/>
          <w:w w:val="110"/>
          <w:sz w:val="18"/>
          <w:u w:val="none"/>
        </w:rPr>
        <w:t>).</w:t>
      </w:r>
    </w:p>
    <w:p>
      <w:pPr>
        <w:spacing w:after="0" w:line="266" w:lineRule="auto"/>
        <w:jc w:val="left"/>
        <w:rPr>
          <w:rFonts w:ascii="Gill Sans MT"/>
          <w:sz w:val="18"/>
        </w:rPr>
        <w:sectPr>
          <w:type w:val="continuous"/>
          <w:pgSz w:w="11910" w:h="16840"/>
          <w:pgMar w:top="640" w:bottom="280" w:left="860" w:right="940"/>
        </w:sectPr>
      </w:pPr>
    </w:p>
    <w:p>
      <w:pPr>
        <w:pStyle w:val="Heading1"/>
        <w:spacing w:before="76"/>
      </w:pPr>
      <w:r>
        <w:rPr/>
        <w:t>Kaip</w:t>
      </w:r>
      <w:r>
        <w:rPr>
          <w:spacing w:val="-6"/>
        </w:rPr>
        <w:t> </w:t>
      </w:r>
      <w:r>
        <w:rPr/>
        <w:t>susisiekti</w:t>
      </w:r>
      <w:r>
        <w:rPr>
          <w:spacing w:val="-5"/>
        </w:rPr>
        <w:t> </w:t>
      </w:r>
      <w:r>
        <w:rPr/>
        <w:t>su</w:t>
      </w:r>
      <w:r>
        <w:rPr>
          <w:spacing w:val="-5"/>
        </w:rPr>
        <w:t> ES</w:t>
      </w:r>
    </w:p>
    <w:p>
      <w:pPr>
        <w:pStyle w:val="Heading2"/>
        <w:spacing w:before="155"/>
      </w:pPr>
      <w:r>
        <w:rPr>
          <w:spacing w:val="-2"/>
        </w:rPr>
        <w:t>Asmeniškai</w:t>
      </w:r>
    </w:p>
    <w:p>
      <w:pPr>
        <w:spacing w:line="290" w:lineRule="auto" w:before="167"/>
        <w:ind w:left="443" w:right="0" w:firstLine="0"/>
        <w:jc w:val="left"/>
        <w:rPr>
          <w:sz w:val="22"/>
        </w:rPr>
      </w:pPr>
      <w:r>
        <w:rPr>
          <w:sz w:val="22"/>
        </w:rPr>
        <w:t>Visoje</w:t>
      </w:r>
      <w:r>
        <w:rPr>
          <w:spacing w:val="-4"/>
          <w:sz w:val="22"/>
        </w:rPr>
        <w:t> </w:t>
      </w:r>
      <w:r>
        <w:rPr>
          <w:sz w:val="22"/>
        </w:rPr>
        <w:t>Europos</w:t>
      </w:r>
      <w:r>
        <w:rPr>
          <w:spacing w:val="-4"/>
          <w:sz w:val="22"/>
        </w:rPr>
        <w:t> </w:t>
      </w:r>
      <w:r>
        <w:rPr>
          <w:sz w:val="22"/>
        </w:rPr>
        <w:t>Sąjungoje</w:t>
      </w:r>
      <w:r>
        <w:rPr>
          <w:spacing w:val="-4"/>
          <w:sz w:val="22"/>
        </w:rPr>
        <w:t> </w:t>
      </w:r>
      <w:r>
        <w:rPr>
          <w:sz w:val="22"/>
        </w:rPr>
        <w:t>yra</w:t>
      </w:r>
      <w:r>
        <w:rPr>
          <w:spacing w:val="-4"/>
          <w:sz w:val="22"/>
        </w:rPr>
        <w:t> </w:t>
      </w:r>
      <w:r>
        <w:rPr>
          <w:sz w:val="22"/>
        </w:rPr>
        <w:t>šimtai</w:t>
      </w:r>
      <w:r>
        <w:rPr>
          <w:spacing w:val="-4"/>
          <w:sz w:val="22"/>
        </w:rPr>
        <w:t> </w:t>
      </w:r>
      <w:r>
        <w:rPr>
          <w:i/>
          <w:sz w:val="22"/>
        </w:rPr>
        <w:t>Europe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Direct</w:t>
      </w:r>
      <w:r>
        <w:rPr>
          <w:i/>
          <w:spacing w:val="-3"/>
          <w:sz w:val="22"/>
        </w:rPr>
        <w:t> </w:t>
      </w:r>
      <w:r>
        <w:rPr>
          <w:sz w:val="22"/>
        </w:rPr>
        <w:t>centrų.</w:t>
      </w:r>
      <w:r>
        <w:rPr>
          <w:spacing w:val="-4"/>
          <w:sz w:val="22"/>
        </w:rPr>
        <w:t> </w:t>
      </w:r>
      <w:r>
        <w:rPr>
          <w:sz w:val="22"/>
        </w:rPr>
        <w:t>Artimiausio</w:t>
      </w:r>
      <w:r>
        <w:rPr>
          <w:spacing w:val="-4"/>
          <w:sz w:val="22"/>
        </w:rPr>
        <w:t> </w:t>
      </w:r>
      <w:r>
        <w:rPr>
          <w:sz w:val="22"/>
        </w:rPr>
        <w:t>centro</w:t>
      </w:r>
      <w:r>
        <w:rPr>
          <w:spacing w:val="-4"/>
          <w:sz w:val="22"/>
        </w:rPr>
        <w:t> </w:t>
      </w:r>
      <w:r>
        <w:rPr>
          <w:sz w:val="22"/>
        </w:rPr>
        <w:t>adresą</w:t>
      </w:r>
      <w:r>
        <w:rPr>
          <w:spacing w:val="-4"/>
          <w:sz w:val="22"/>
        </w:rPr>
        <w:t> </w:t>
      </w:r>
      <w:r>
        <w:rPr>
          <w:sz w:val="22"/>
        </w:rPr>
        <w:t>galite</w:t>
      </w:r>
      <w:r>
        <w:rPr>
          <w:spacing w:val="-4"/>
          <w:sz w:val="22"/>
        </w:rPr>
        <w:t> </w:t>
      </w:r>
      <w:r>
        <w:rPr>
          <w:sz w:val="22"/>
        </w:rPr>
        <w:t>rasti internetu (</w:t>
      </w:r>
      <w:hyperlink r:id="rId8">
        <w:r>
          <w:rPr>
            <w:color w:val="337AB7"/>
            <w:sz w:val="22"/>
            <w:u w:val="single" w:color="337AB7"/>
          </w:rPr>
          <w:t>european-union.europa.eu/contact-eu/meet-us_lt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Telefonu</w:t>
      </w:r>
      <w:r>
        <w:rPr>
          <w:spacing w:val="-14"/>
        </w:rPr>
        <w:t> </w:t>
      </w:r>
      <w:r>
        <w:rPr/>
        <w:t>arba</w:t>
      </w:r>
      <w:r>
        <w:rPr>
          <w:spacing w:val="-13"/>
        </w:rPr>
        <w:t> </w:t>
      </w:r>
      <w:r>
        <w:rPr>
          <w:spacing w:val="-2"/>
        </w:rPr>
        <w:t>raštu</w:t>
      </w:r>
    </w:p>
    <w:p>
      <w:pPr>
        <w:spacing w:line="290" w:lineRule="auto" w:before="166"/>
        <w:ind w:left="443" w:right="0" w:firstLine="0"/>
        <w:jc w:val="left"/>
        <w:rPr>
          <w:sz w:val="22"/>
        </w:rPr>
      </w:pPr>
      <w:r>
        <w:rPr>
          <w:i/>
          <w:sz w:val="22"/>
        </w:rPr>
        <w:t>Europe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Direct</w:t>
      </w:r>
      <w:r>
        <w:rPr>
          <w:i/>
          <w:spacing w:val="-3"/>
          <w:sz w:val="22"/>
        </w:rPr>
        <w:t> </w:t>
      </w:r>
      <w:r>
        <w:rPr>
          <w:sz w:val="22"/>
        </w:rPr>
        <w:t>tarnyba</w:t>
      </w:r>
      <w:r>
        <w:rPr>
          <w:spacing w:val="-4"/>
          <w:sz w:val="22"/>
        </w:rPr>
        <w:t> </w:t>
      </w:r>
      <w:r>
        <w:rPr>
          <w:sz w:val="22"/>
        </w:rPr>
        <w:t>atsakys</w:t>
      </w:r>
      <w:r>
        <w:rPr>
          <w:spacing w:val="-4"/>
          <w:sz w:val="22"/>
        </w:rPr>
        <w:t> </w:t>
      </w:r>
      <w:r>
        <w:rPr>
          <w:sz w:val="22"/>
        </w:rPr>
        <w:t>į</w:t>
      </w:r>
      <w:r>
        <w:rPr>
          <w:spacing w:val="-4"/>
          <w:sz w:val="22"/>
        </w:rPr>
        <w:t> </w:t>
      </w:r>
      <w:r>
        <w:rPr>
          <w:sz w:val="22"/>
        </w:rPr>
        <w:t>jūsų</w:t>
      </w:r>
      <w:r>
        <w:rPr>
          <w:spacing w:val="-4"/>
          <w:sz w:val="22"/>
        </w:rPr>
        <w:t> </w:t>
      </w:r>
      <w:r>
        <w:rPr>
          <w:sz w:val="22"/>
        </w:rPr>
        <w:t>klausimus</w:t>
      </w:r>
      <w:r>
        <w:rPr>
          <w:spacing w:val="-4"/>
          <w:sz w:val="22"/>
        </w:rPr>
        <w:t> </w:t>
      </w:r>
      <w:r>
        <w:rPr>
          <w:sz w:val="22"/>
        </w:rPr>
        <w:t>apie</w:t>
      </w:r>
      <w:r>
        <w:rPr>
          <w:spacing w:val="-4"/>
          <w:sz w:val="22"/>
        </w:rPr>
        <w:t> </w:t>
      </w:r>
      <w:r>
        <w:rPr>
          <w:sz w:val="22"/>
        </w:rPr>
        <w:t>Europos</w:t>
      </w:r>
      <w:r>
        <w:rPr>
          <w:spacing w:val="-4"/>
          <w:sz w:val="22"/>
        </w:rPr>
        <w:t> </w:t>
      </w:r>
      <w:r>
        <w:rPr>
          <w:sz w:val="22"/>
        </w:rPr>
        <w:t>Sąjungą.</w:t>
      </w:r>
      <w:r>
        <w:rPr>
          <w:spacing w:val="-4"/>
          <w:sz w:val="22"/>
        </w:rPr>
        <w:t> </w:t>
      </w:r>
      <w:r>
        <w:rPr>
          <w:sz w:val="22"/>
        </w:rPr>
        <w:t>Su</w:t>
      </w:r>
      <w:r>
        <w:rPr>
          <w:spacing w:val="-4"/>
          <w:sz w:val="22"/>
        </w:rPr>
        <w:t> </w:t>
      </w:r>
      <w:r>
        <w:rPr>
          <w:sz w:val="22"/>
        </w:rPr>
        <w:t>šia</w:t>
      </w:r>
      <w:r>
        <w:rPr>
          <w:spacing w:val="-4"/>
          <w:sz w:val="22"/>
        </w:rPr>
        <w:t> </w:t>
      </w:r>
      <w:r>
        <w:rPr>
          <w:sz w:val="22"/>
        </w:rPr>
        <w:t>tarnyba</w:t>
      </w:r>
      <w:r>
        <w:rPr>
          <w:spacing w:val="-4"/>
          <w:sz w:val="22"/>
        </w:rPr>
        <w:t> </w:t>
      </w:r>
      <w:r>
        <w:rPr>
          <w:sz w:val="22"/>
        </w:rPr>
        <w:t>galite </w:t>
      </w:r>
      <w:r>
        <w:rPr>
          <w:spacing w:val="-2"/>
          <w:sz w:val="22"/>
        </w:rPr>
        <w:t>susisiekti: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88" w:lineRule="auto" w:before="113" w:after="0"/>
        <w:ind w:left="1163" w:right="733" w:hanging="400"/>
        <w:jc w:val="left"/>
        <w:rPr>
          <w:sz w:val="22"/>
        </w:rPr>
      </w:pPr>
      <w:r>
        <w:rPr>
          <w:sz w:val="22"/>
        </w:rPr>
        <w:t>nemokamu</w:t>
      </w:r>
      <w:r>
        <w:rPr>
          <w:spacing w:val="-4"/>
          <w:sz w:val="22"/>
        </w:rPr>
        <w:t> </w:t>
      </w:r>
      <w:r>
        <w:rPr>
          <w:sz w:val="22"/>
        </w:rPr>
        <w:t>numeriu: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(kai</w:t>
      </w:r>
      <w:r>
        <w:rPr>
          <w:spacing w:val="-4"/>
          <w:sz w:val="22"/>
        </w:rPr>
        <w:t> </w:t>
      </w:r>
      <w:r>
        <w:rPr>
          <w:sz w:val="22"/>
        </w:rPr>
        <w:t>kurie</w:t>
      </w:r>
      <w:r>
        <w:rPr>
          <w:spacing w:val="-4"/>
          <w:sz w:val="22"/>
        </w:rPr>
        <w:t> </w:t>
      </w:r>
      <w:r>
        <w:rPr>
          <w:sz w:val="22"/>
        </w:rPr>
        <w:t>operatoriai</w:t>
      </w:r>
      <w:r>
        <w:rPr>
          <w:spacing w:val="-4"/>
          <w:sz w:val="22"/>
        </w:rPr>
        <w:t> </w:t>
      </w:r>
      <w:r>
        <w:rPr>
          <w:sz w:val="22"/>
        </w:rPr>
        <w:t>už</w:t>
      </w:r>
      <w:r>
        <w:rPr>
          <w:spacing w:val="-4"/>
          <w:sz w:val="22"/>
        </w:rPr>
        <w:t> </w:t>
      </w:r>
      <w:r>
        <w:rPr>
          <w:sz w:val="22"/>
        </w:rPr>
        <w:t>šiuos</w:t>
      </w:r>
      <w:r>
        <w:rPr>
          <w:spacing w:val="-4"/>
          <w:sz w:val="22"/>
        </w:rPr>
        <w:t> </w:t>
      </w:r>
      <w:r>
        <w:rPr>
          <w:sz w:val="22"/>
        </w:rPr>
        <w:t>skambučius gali imti mokestį),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4" w:after="0"/>
        <w:ind w:left="1163" w:right="0" w:hanging="400"/>
        <w:jc w:val="left"/>
        <w:rPr>
          <w:sz w:val="22"/>
        </w:rPr>
      </w:pPr>
      <w:r>
        <w:rPr>
          <w:sz w:val="22"/>
        </w:rPr>
        <w:t>šiuo</w:t>
      </w:r>
      <w:r>
        <w:rPr>
          <w:spacing w:val="-7"/>
          <w:sz w:val="22"/>
        </w:rPr>
        <w:t> </w:t>
      </w:r>
      <w:r>
        <w:rPr>
          <w:sz w:val="22"/>
        </w:rPr>
        <w:t>standartiniu</w:t>
      </w:r>
      <w:r>
        <w:rPr>
          <w:spacing w:val="-7"/>
          <w:sz w:val="22"/>
        </w:rPr>
        <w:t> </w:t>
      </w:r>
      <w:r>
        <w:rPr>
          <w:sz w:val="22"/>
        </w:rPr>
        <w:t>numeriu:</w:t>
      </w:r>
      <w:r>
        <w:rPr>
          <w:spacing w:val="-7"/>
          <w:sz w:val="22"/>
        </w:rPr>
        <w:t> </w:t>
      </w:r>
      <w:r>
        <w:rPr>
          <w:sz w:val="22"/>
        </w:rPr>
        <w:t>+32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53" w:after="0"/>
        <w:ind w:left="1163" w:right="0" w:hanging="400"/>
        <w:jc w:val="left"/>
        <w:rPr>
          <w:sz w:val="22"/>
        </w:rPr>
      </w:pPr>
      <w:r>
        <w:rPr>
          <w:spacing w:val="-2"/>
          <w:sz w:val="22"/>
        </w:rPr>
        <w:t>naudodami</w:t>
      </w:r>
      <w:r>
        <w:rPr>
          <w:spacing w:val="19"/>
          <w:sz w:val="22"/>
        </w:rPr>
        <w:t> </w:t>
      </w:r>
      <w:r>
        <w:rPr>
          <w:spacing w:val="-2"/>
          <w:sz w:val="22"/>
        </w:rPr>
        <w:t>šią</w:t>
      </w:r>
      <w:r>
        <w:rPr>
          <w:spacing w:val="20"/>
          <w:sz w:val="22"/>
        </w:rPr>
        <w:t> </w:t>
      </w:r>
      <w:r>
        <w:rPr>
          <w:spacing w:val="-2"/>
          <w:sz w:val="22"/>
        </w:rPr>
        <w:t>formą:</w:t>
      </w:r>
      <w:r>
        <w:rPr>
          <w:spacing w:val="22"/>
          <w:sz w:val="22"/>
        </w:rPr>
        <w:t> </w:t>
      </w:r>
      <w:hyperlink r:id="rId9">
        <w:r>
          <w:rPr>
            <w:color w:val="337AB7"/>
            <w:spacing w:val="-2"/>
            <w:sz w:val="22"/>
            <w:u w:val="single" w:color="337AB7"/>
          </w:rPr>
          <w:t>european-union.europa.eu/contact-eu/write-us_lt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Kaip</w:t>
      </w:r>
      <w:r>
        <w:rPr>
          <w:spacing w:val="-7"/>
        </w:rPr>
        <w:t> </w:t>
      </w:r>
      <w:r>
        <w:rPr/>
        <w:t>rasti</w:t>
      </w:r>
      <w:r>
        <w:rPr>
          <w:spacing w:val="-6"/>
        </w:rPr>
        <w:t> </w:t>
      </w:r>
      <w:r>
        <w:rPr/>
        <w:t>informacijos</w:t>
      </w:r>
      <w:r>
        <w:rPr>
          <w:spacing w:val="-6"/>
        </w:rPr>
        <w:t> </w:t>
      </w:r>
      <w:r>
        <w:rPr/>
        <w:t>apie</w:t>
      </w:r>
      <w:r>
        <w:rPr>
          <w:spacing w:val="-6"/>
        </w:rPr>
        <w:t> </w:t>
      </w:r>
      <w:r>
        <w:rPr>
          <w:spacing w:val="-5"/>
        </w:rPr>
        <w:t>ES</w:t>
      </w:r>
    </w:p>
    <w:p>
      <w:pPr>
        <w:pStyle w:val="Heading2"/>
        <w:spacing w:before="154"/>
      </w:pPr>
      <w:r>
        <w:rPr>
          <w:spacing w:val="-2"/>
        </w:rPr>
        <w:t>Internetas</w:t>
      </w:r>
    </w:p>
    <w:p>
      <w:pPr>
        <w:spacing w:before="167"/>
        <w:ind w:left="443" w:right="0" w:firstLine="0"/>
        <w:jc w:val="left"/>
        <w:rPr>
          <w:sz w:val="22"/>
        </w:rPr>
      </w:pPr>
      <w:r>
        <w:rPr>
          <w:sz w:val="22"/>
        </w:rPr>
        <w:t>Informacijos</w:t>
      </w:r>
      <w:r>
        <w:rPr>
          <w:spacing w:val="-5"/>
          <w:sz w:val="22"/>
        </w:rPr>
        <w:t> </w:t>
      </w:r>
      <w:r>
        <w:rPr>
          <w:sz w:val="22"/>
        </w:rPr>
        <w:t>apie</w:t>
      </w:r>
      <w:r>
        <w:rPr>
          <w:spacing w:val="-3"/>
          <w:sz w:val="22"/>
        </w:rPr>
        <w:t> </w:t>
      </w:r>
      <w:r>
        <w:rPr>
          <w:sz w:val="22"/>
        </w:rPr>
        <w:t>Europos</w:t>
      </w:r>
      <w:r>
        <w:rPr>
          <w:spacing w:val="-3"/>
          <w:sz w:val="22"/>
        </w:rPr>
        <w:t> </w:t>
      </w:r>
      <w:r>
        <w:rPr>
          <w:sz w:val="22"/>
        </w:rPr>
        <w:t>Sąjungą</w:t>
      </w:r>
      <w:r>
        <w:rPr>
          <w:spacing w:val="-3"/>
          <w:sz w:val="22"/>
        </w:rPr>
        <w:t> </w:t>
      </w:r>
      <w:r>
        <w:rPr>
          <w:sz w:val="22"/>
        </w:rPr>
        <w:t>visomis</w:t>
      </w:r>
      <w:r>
        <w:rPr>
          <w:spacing w:val="-3"/>
          <w:sz w:val="22"/>
        </w:rPr>
        <w:t> </w:t>
      </w:r>
      <w:r>
        <w:rPr>
          <w:sz w:val="22"/>
        </w:rPr>
        <w:t>oficialiosiomis</w:t>
      </w:r>
      <w:r>
        <w:rPr>
          <w:spacing w:val="-3"/>
          <w:sz w:val="22"/>
        </w:rPr>
        <w:t> </w:t>
      </w:r>
      <w:r>
        <w:rPr>
          <w:sz w:val="22"/>
        </w:rPr>
        <w:t>ES</w:t>
      </w:r>
      <w:r>
        <w:rPr>
          <w:spacing w:val="-3"/>
          <w:sz w:val="22"/>
        </w:rPr>
        <w:t> </w:t>
      </w:r>
      <w:r>
        <w:rPr>
          <w:sz w:val="22"/>
        </w:rPr>
        <w:t>kalbomis</w:t>
      </w:r>
      <w:r>
        <w:rPr>
          <w:spacing w:val="-3"/>
          <w:sz w:val="22"/>
        </w:rPr>
        <w:t> </w:t>
      </w:r>
      <w:r>
        <w:rPr>
          <w:sz w:val="22"/>
        </w:rPr>
        <w:t>galima</w:t>
      </w:r>
      <w:r>
        <w:rPr>
          <w:spacing w:val="-3"/>
          <w:sz w:val="22"/>
        </w:rPr>
        <w:t> </w:t>
      </w:r>
      <w:r>
        <w:rPr>
          <w:sz w:val="22"/>
        </w:rPr>
        <w:t>rasti</w:t>
      </w:r>
      <w:r>
        <w:rPr>
          <w:spacing w:val="-2"/>
          <w:sz w:val="22"/>
        </w:rPr>
        <w:t> svetainėje</w:t>
      </w:r>
    </w:p>
    <w:p>
      <w:pPr>
        <w:spacing w:before="53"/>
        <w:ind w:left="443" w:right="0" w:firstLine="0"/>
        <w:jc w:val="left"/>
        <w:rPr>
          <w:sz w:val="22"/>
        </w:rPr>
      </w:pPr>
      <w:r>
        <w:rPr>
          <w:i/>
          <w:sz w:val="22"/>
        </w:rPr>
        <w:t>Europa</w:t>
      </w:r>
      <w:r>
        <w:rPr>
          <w:i/>
          <w:spacing w:val="-15"/>
          <w:sz w:val="22"/>
        </w:rPr>
        <w:t> </w:t>
      </w:r>
      <w:r>
        <w:rPr>
          <w:sz w:val="22"/>
        </w:rPr>
        <w:t>(</w:t>
      </w:r>
      <w:hyperlink r:id="rId10">
        <w:r>
          <w:rPr>
            <w:color w:val="337AB7"/>
            <w:sz w:val="22"/>
            <w:u w:val="single" w:color="337AB7"/>
          </w:rPr>
          <w:t>european-</w:t>
        </w:r>
        <w:r>
          <w:rPr>
            <w:color w:val="337AB7"/>
            <w:spacing w:val="-2"/>
            <w:sz w:val="22"/>
            <w:u w:val="single" w:color="337AB7"/>
          </w:rPr>
          <w:t>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  <w:spacing w:before="166"/>
      </w:pPr>
      <w:r>
        <w:rPr/>
        <w:t>ES</w:t>
      </w:r>
      <w:r>
        <w:rPr>
          <w:spacing w:val="-2"/>
        </w:rPr>
        <w:t> leidiniai</w:t>
      </w:r>
    </w:p>
    <w:p>
      <w:pPr>
        <w:spacing w:line="290" w:lineRule="auto" w:before="167"/>
        <w:ind w:left="443" w:right="328" w:firstLine="0"/>
        <w:jc w:val="left"/>
        <w:rPr>
          <w:sz w:val="22"/>
        </w:rPr>
      </w:pPr>
      <w:r>
        <w:rPr>
          <w:sz w:val="22"/>
        </w:rPr>
        <w:t>ES</w:t>
      </w:r>
      <w:r>
        <w:rPr>
          <w:spacing w:val="-5"/>
          <w:sz w:val="22"/>
        </w:rPr>
        <w:t> </w:t>
      </w:r>
      <w:r>
        <w:rPr>
          <w:sz w:val="22"/>
        </w:rPr>
        <w:t>leidinius</w:t>
      </w:r>
      <w:r>
        <w:rPr>
          <w:spacing w:val="-5"/>
          <w:sz w:val="22"/>
        </w:rPr>
        <w:t> </w:t>
      </w:r>
      <w:r>
        <w:rPr>
          <w:sz w:val="22"/>
        </w:rPr>
        <w:t>galite</w:t>
      </w:r>
      <w:r>
        <w:rPr>
          <w:spacing w:val="-5"/>
          <w:sz w:val="22"/>
        </w:rPr>
        <w:t> </w:t>
      </w:r>
      <w:r>
        <w:rPr>
          <w:sz w:val="22"/>
        </w:rPr>
        <w:t>peržiūrėti</w:t>
      </w:r>
      <w:r>
        <w:rPr>
          <w:spacing w:val="-5"/>
          <w:sz w:val="22"/>
        </w:rPr>
        <w:t> </w:t>
      </w:r>
      <w:r>
        <w:rPr>
          <w:sz w:val="22"/>
        </w:rPr>
        <w:t>arba</w:t>
      </w:r>
      <w:r>
        <w:rPr>
          <w:spacing w:val="-5"/>
          <w:sz w:val="22"/>
        </w:rPr>
        <w:t> </w:t>
      </w:r>
      <w:r>
        <w:rPr>
          <w:sz w:val="22"/>
        </w:rPr>
        <w:t>užsisakyti</w:t>
      </w:r>
      <w:r>
        <w:rPr>
          <w:spacing w:val="-5"/>
          <w:sz w:val="22"/>
        </w:rPr>
        <w:t> </w:t>
      </w:r>
      <w:r>
        <w:rPr>
          <w:sz w:val="22"/>
        </w:rPr>
        <w:t>adresu</w:t>
      </w:r>
      <w:r>
        <w:rPr>
          <w:spacing w:val="-5"/>
          <w:sz w:val="22"/>
        </w:rPr>
        <w:t> </w:t>
      </w:r>
      <w:hyperlink r:id="rId11">
        <w:r>
          <w:rPr>
            <w:color w:val="337AB7"/>
            <w:sz w:val="22"/>
            <w:u w:val="single" w:color="337AB7"/>
          </w:rPr>
          <w:t>op.europa.eu/lt/publications</w:t>
        </w:r>
      </w:hyperlink>
      <w:r>
        <w:rPr>
          <w:sz w:val="22"/>
          <w:u w:val="none"/>
        </w:rPr>
        <w:t>.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Jeigu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jums reikia daugiau nemokamų leidinių egzempliorių, kreipkitės į </w:t>
      </w:r>
      <w:r>
        <w:rPr>
          <w:i/>
          <w:sz w:val="22"/>
          <w:u w:val="none"/>
        </w:rPr>
        <w:t>Europe Direct </w:t>
      </w:r>
      <w:r>
        <w:rPr>
          <w:sz w:val="22"/>
          <w:u w:val="none"/>
        </w:rPr>
        <w:t>arba į vietos dokumentų centrą (</w:t>
      </w:r>
      <w:hyperlink r:id="rId8">
        <w:r>
          <w:rPr>
            <w:color w:val="337AB7"/>
            <w:sz w:val="22"/>
            <w:u w:val="single" w:color="337AB7"/>
          </w:rPr>
          <w:t>european-union.europa.eu/contact-eu/meet-us_lt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ES</w:t>
      </w:r>
      <w:r>
        <w:rPr>
          <w:spacing w:val="-4"/>
        </w:rPr>
        <w:t> </w:t>
      </w:r>
      <w:r>
        <w:rPr/>
        <w:t>teisė</w:t>
      </w:r>
      <w:r>
        <w:rPr>
          <w:spacing w:val="-4"/>
        </w:rPr>
        <w:t> </w:t>
      </w:r>
      <w:r>
        <w:rPr/>
        <w:t>ir</w:t>
      </w:r>
      <w:r>
        <w:rPr>
          <w:spacing w:val="-4"/>
        </w:rPr>
        <w:t> </w:t>
      </w:r>
      <w:r>
        <w:rPr/>
        <w:t>susiję</w:t>
      </w:r>
      <w:r>
        <w:rPr>
          <w:spacing w:val="-3"/>
        </w:rPr>
        <w:t> </w:t>
      </w:r>
      <w:r>
        <w:rPr>
          <w:spacing w:val="-2"/>
        </w:rPr>
        <w:t>dokumentai</w:t>
      </w:r>
    </w:p>
    <w:p>
      <w:pPr>
        <w:spacing w:line="290" w:lineRule="auto" w:before="166"/>
        <w:ind w:left="443" w:right="806" w:firstLine="0"/>
        <w:jc w:val="left"/>
        <w:rPr>
          <w:sz w:val="22"/>
        </w:rPr>
      </w:pPr>
      <w:r>
        <w:rPr>
          <w:sz w:val="22"/>
        </w:rPr>
        <w:t>Norėdami</w:t>
      </w:r>
      <w:r>
        <w:rPr>
          <w:spacing w:val="-4"/>
          <w:sz w:val="22"/>
        </w:rPr>
        <w:t> </w:t>
      </w:r>
      <w:r>
        <w:rPr>
          <w:sz w:val="22"/>
        </w:rPr>
        <w:t>susipažinti</w:t>
      </w:r>
      <w:r>
        <w:rPr>
          <w:spacing w:val="-4"/>
          <w:sz w:val="22"/>
        </w:rPr>
        <w:t> </w:t>
      </w:r>
      <w:r>
        <w:rPr>
          <w:sz w:val="22"/>
        </w:rPr>
        <w:t>su</w:t>
      </w:r>
      <w:r>
        <w:rPr>
          <w:spacing w:val="-4"/>
          <w:sz w:val="22"/>
        </w:rPr>
        <w:t> </w:t>
      </w:r>
      <w:r>
        <w:rPr>
          <w:sz w:val="22"/>
        </w:rPr>
        <w:t>ES</w:t>
      </w:r>
      <w:r>
        <w:rPr>
          <w:spacing w:val="-4"/>
          <w:sz w:val="22"/>
        </w:rPr>
        <w:t> </w:t>
      </w:r>
      <w:r>
        <w:rPr>
          <w:sz w:val="22"/>
        </w:rPr>
        <w:t>teisine</w:t>
      </w:r>
      <w:r>
        <w:rPr>
          <w:spacing w:val="-4"/>
          <w:sz w:val="22"/>
        </w:rPr>
        <w:t> </w:t>
      </w:r>
      <w:r>
        <w:rPr>
          <w:sz w:val="22"/>
        </w:rPr>
        <w:t>informacija,</w:t>
      </w:r>
      <w:r>
        <w:rPr>
          <w:spacing w:val="-4"/>
          <w:sz w:val="22"/>
        </w:rPr>
        <w:t> </w:t>
      </w:r>
      <w:r>
        <w:rPr>
          <w:sz w:val="22"/>
        </w:rPr>
        <w:t>įskaitant</w:t>
      </w:r>
      <w:r>
        <w:rPr>
          <w:spacing w:val="-4"/>
          <w:sz w:val="22"/>
        </w:rPr>
        <w:t> </w:t>
      </w:r>
      <w:r>
        <w:rPr>
          <w:sz w:val="22"/>
        </w:rPr>
        <w:t>visus</w:t>
      </w:r>
      <w:r>
        <w:rPr>
          <w:spacing w:val="-4"/>
          <w:sz w:val="22"/>
        </w:rPr>
        <w:t> </w:t>
      </w:r>
      <w:r>
        <w:rPr>
          <w:sz w:val="22"/>
        </w:rPr>
        <w:t>ES</w:t>
      </w:r>
      <w:r>
        <w:rPr>
          <w:spacing w:val="-4"/>
          <w:sz w:val="22"/>
        </w:rPr>
        <w:t> </w:t>
      </w:r>
      <w:r>
        <w:rPr>
          <w:sz w:val="22"/>
        </w:rPr>
        <w:t>teisės</w:t>
      </w:r>
      <w:r>
        <w:rPr>
          <w:spacing w:val="-4"/>
          <w:sz w:val="22"/>
        </w:rPr>
        <w:t> </w:t>
      </w:r>
      <w:r>
        <w:rPr>
          <w:sz w:val="22"/>
        </w:rPr>
        <w:t>aktus</w:t>
      </w:r>
      <w:r>
        <w:rPr>
          <w:spacing w:val="-4"/>
          <w:sz w:val="22"/>
        </w:rPr>
        <w:t> </w:t>
      </w:r>
      <w:r>
        <w:rPr>
          <w:sz w:val="22"/>
        </w:rPr>
        <w:t>nuo</w:t>
      </w:r>
      <w:r>
        <w:rPr>
          <w:spacing w:val="-4"/>
          <w:sz w:val="22"/>
        </w:rPr>
        <w:t> </w:t>
      </w:r>
      <w:r>
        <w:rPr>
          <w:sz w:val="22"/>
        </w:rPr>
        <w:t>1951</w:t>
      </w:r>
      <w:r>
        <w:rPr>
          <w:spacing w:val="-4"/>
          <w:sz w:val="22"/>
        </w:rPr>
        <w:t> </w:t>
      </w:r>
      <w:r>
        <w:rPr>
          <w:sz w:val="22"/>
        </w:rPr>
        <w:t>m. visomis oficialiosiomis kalbomis, apsilankykite svetainėje </w:t>
      </w:r>
      <w:r>
        <w:rPr>
          <w:i/>
          <w:sz w:val="22"/>
        </w:rPr>
        <w:t>EUR-Lex </w:t>
      </w:r>
      <w:r>
        <w:rPr>
          <w:sz w:val="22"/>
        </w:rPr>
        <w:t>(</w:t>
      </w:r>
      <w:hyperlink r:id="rId12">
        <w:r>
          <w:rPr>
            <w:color w:val="337AB7"/>
            <w:sz w:val="22"/>
            <w:u w:val="single" w:color="337AB7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ES</w:t>
      </w:r>
      <w:r>
        <w:rPr>
          <w:spacing w:val="-8"/>
        </w:rPr>
        <w:t> </w:t>
      </w:r>
      <w:r>
        <w:rPr/>
        <w:t>atvirieji</w:t>
      </w:r>
      <w:r>
        <w:rPr>
          <w:spacing w:val="-5"/>
        </w:rPr>
        <w:t> </w:t>
      </w:r>
      <w:r>
        <w:rPr>
          <w:spacing w:val="-2"/>
        </w:rPr>
        <w:t>duomenys</w:t>
      </w:r>
    </w:p>
    <w:p>
      <w:pPr>
        <w:spacing w:line="290" w:lineRule="auto" w:before="167"/>
        <w:ind w:left="443" w:right="328" w:firstLine="0"/>
        <w:jc w:val="left"/>
        <w:rPr>
          <w:sz w:val="22"/>
        </w:rPr>
      </w:pPr>
      <w:r>
        <w:rPr>
          <w:sz w:val="22"/>
        </w:rPr>
        <w:t>Portale </w:t>
      </w:r>
      <w:hyperlink r:id="rId13">
        <w:r>
          <w:rPr>
            <w:color w:val="337AB7"/>
            <w:sz w:val="22"/>
            <w:u w:val="single" w:color="337AB7"/>
          </w:rPr>
          <w:t>data.europa.eu</w:t>
        </w:r>
      </w:hyperlink>
      <w:r>
        <w:rPr>
          <w:color w:val="337AB7"/>
          <w:sz w:val="22"/>
          <w:u w:val="none"/>
        </w:rPr>
        <w:t> </w:t>
      </w:r>
      <w:r>
        <w:rPr>
          <w:sz w:val="22"/>
          <w:u w:val="none"/>
        </w:rPr>
        <w:t>suteikiama prieiga prie ES institucijų, įstaigų ir agentūrų atvirųjų duomenų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rinkinių.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Šiuos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duomenis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galima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nemokamai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parsisiųsti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ir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pakartotinai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naudoti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tiek komerciniais, tiek nekomerciniais tikslais. Be to, portale suteikiama prieiga prie daugybės Europos šalių duomenų rinkinių.</w:t>
      </w:r>
    </w:p>
    <w:sectPr>
      <w:pgSz w:w="11910" w:h="16840"/>
      <w:pgMar w:top="880" w:bottom="280" w:left="86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ill Sans MT">
    <w:altName w:val="Gill Sans MT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1163" w:hanging="40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lt-LT" w:eastAsia="en-US" w:bidi="ar-SA"/>
      </w:rPr>
    </w:lvl>
    <w:lvl w:ilvl="1">
      <w:start w:val="0"/>
      <w:numFmt w:val="bullet"/>
      <w:lvlText w:val="•"/>
      <w:lvlJc w:val="left"/>
      <w:pPr>
        <w:ind w:left="2054" w:hanging="400"/>
      </w:pPr>
      <w:rPr>
        <w:rFonts w:hint="default"/>
        <w:lang w:val="lt-LT" w:eastAsia="en-US" w:bidi="ar-SA"/>
      </w:rPr>
    </w:lvl>
    <w:lvl w:ilvl="2">
      <w:start w:val="0"/>
      <w:numFmt w:val="bullet"/>
      <w:lvlText w:val="•"/>
      <w:lvlJc w:val="left"/>
      <w:pPr>
        <w:ind w:left="2949" w:hanging="400"/>
      </w:pPr>
      <w:rPr>
        <w:rFonts w:hint="default"/>
        <w:lang w:val="lt-LT" w:eastAsia="en-US" w:bidi="ar-SA"/>
      </w:rPr>
    </w:lvl>
    <w:lvl w:ilvl="3">
      <w:start w:val="0"/>
      <w:numFmt w:val="bullet"/>
      <w:lvlText w:val="•"/>
      <w:lvlJc w:val="left"/>
      <w:pPr>
        <w:ind w:left="3844" w:hanging="400"/>
      </w:pPr>
      <w:rPr>
        <w:rFonts w:hint="default"/>
        <w:lang w:val="lt-LT" w:eastAsia="en-US" w:bidi="ar-SA"/>
      </w:rPr>
    </w:lvl>
    <w:lvl w:ilvl="4">
      <w:start w:val="0"/>
      <w:numFmt w:val="bullet"/>
      <w:lvlText w:val="•"/>
      <w:lvlJc w:val="left"/>
      <w:pPr>
        <w:ind w:left="4739" w:hanging="400"/>
      </w:pPr>
      <w:rPr>
        <w:rFonts w:hint="default"/>
        <w:lang w:val="lt-LT" w:eastAsia="en-US" w:bidi="ar-SA"/>
      </w:rPr>
    </w:lvl>
    <w:lvl w:ilvl="5">
      <w:start w:val="0"/>
      <w:numFmt w:val="bullet"/>
      <w:lvlText w:val="•"/>
      <w:lvlJc w:val="left"/>
      <w:pPr>
        <w:ind w:left="5634" w:hanging="400"/>
      </w:pPr>
      <w:rPr>
        <w:rFonts w:hint="default"/>
        <w:lang w:val="lt-LT" w:eastAsia="en-US" w:bidi="ar-SA"/>
      </w:rPr>
    </w:lvl>
    <w:lvl w:ilvl="6">
      <w:start w:val="0"/>
      <w:numFmt w:val="bullet"/>
      <w:lvlText w:val="•"/>
      <w:lvlJc w:val="left"/>
      <w:pPr>
        <w:ind w:left="6529" w:hanging="400"/>
      </w:pPr>
      <w:rPr>
        <w:rFonts w:hint="default"/>
        <w:lang w:val="lt-LT" w:eastAsia="en-US" w:bidi="ar-SA"/>
      </w:rPr>
    </w:lvl>
    <w:lvl w:ilvl="7">
      <w:start w:val="0"/>
      <w:numFmt w:val="bullet"/>
      <w:lvlText w:val="•"/>
      <w:lvlJc w:val="left"/>
      <w:pPr>
        <w:ind w:left="7424" w:hanging="400"/>
      </w:pPr>
      <w:rPr>
        <w:rFonts w:hint="default"/>
        <w:lang w:val="lt-LT" w:eastAsia="en-US" w:bidi="ar-SA"/>
      </w:rPr>
    </w:lvl>
    <w:lvl w:ilvl="8">
      <w:start w:val="0"/>
      <w:numFmt w:val="bullet"/>
      <w:lvlText w:val="•"/>
      <w:lvlJc w:val="left"/>
      <w:pPr>
        <w:ind w:left="8319" w:hanging="400"/>
      </w:pPr>
      <w:rPr>
        <w:rFonts w:hint="default"/>
        <w:lang w:val="lt-LT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60" w:hanging="300"/>
        <w:jc w:val="left"/>
      </w:pPr>
      <w:rPr>
        <w:rFonts w:hint="default" w:ascii="Gill Sans MT" w:hAnsi="Gill Sans MT" w:eastAsia="Gill Sans MT" w:cs="Gill Sans MT"/>
        <w:b w:val="0"/>
        <w:bCs w:val="0"/>
        <w:i w:val="0"/>
        <w:iCs w:val="0"/>
        <w:spacing w:val="-1"/>
        <w:w w:val="97"/>
        <w:sz w:val="17"/>
        <w:szCs w:val="17"/>
        <w:lang w:val="lt-LT" w:eastAsia="en-US" w:bidi="ar-SA"/>
      </w:rPr>
    </w:lvl>
    <w:lvl w:ilvl="1">
      <w:start w:val="0"/>
      <w:numFmt w:val="bullet"/>
      <w:lvlText w:val="•"/>
      <w:lvlJc w:val="left"/>
      <w:pPr>
        <w:ind w:left="1424" w:hanging="300"/>
      </w:pPr>
      <w:rPr>
        <w:rFonts w:hint="default"/>
        <w:lang w:val="lt-LT" w:eastAsia="en-US" w:bidi="ar-SA"/>
      </w:rPr>
    </w:lvl>
    <w:lvl w:ilvl="2">
      <w:start w:val="0"/>
      <w:numFmt w:val="bullet"/>
      <w:lvlText w:val="•"/>
      <w:lvlJc w:val="left"/>
      <w:pPr>
        <w:ind w:left="2389" w:hanging="300"/>
      </w:pPr>
      <w:rPr>
        <w:rFonts w:hint="default"/>
        <w:lang w:val="lt-LT" w:eastAsia="en-US" w:bidi="ar-SA"/>
      </w:rPr>
    </w:lvl>
    <w:lvl w:ilvl="3">
      <w:start w:val="0"/>
      <w:numFmt w:val="bullet"/>
      <w:lvlText w:val="•"/>
      <w:lvlJc w:val="left"/>
      <w:pPr>
        <w:ind w:left="3354" w:hanging="300"/>
      </w:pPr>
      <w:rPr>
        <w:rFonts w:hint="default"/>
        <w:lang w:val="lt-LT" w:eastAsia="en-US" w:bidi="ar-SA"/>
      </w:rPr>
    </w:lvl>
    <w:lvl w:ilvl="4">
      <w:start w:val="0"/>
      <w:numFmt w:val="bullet"/>
      <w:lvlText w:val="•"/>
      <w:lvlJc w:val="left"/>
      <w:pPr>
        <w:ind w:left="4319" w:hanging="300"/>
      </w:pPr>
      <w:rPr>
        <w:rFonts w:hint="default"/>
        <w:lang w:val="lt-LT" w:eastAsia="en-US" w:bidi="ar-SA"/>
      </w:rPr>
    </w:lvl>
    <w:lvl w:ilvl="5">
      <w:start w:val="0"/>
      <w:numFmt w:val="bullet"/>
      <w:lvlText w:val="•"/>
      <w:lvlJc w:val="left"/>
      <w:pPr>
        <w:ind w:left="5284" w:hanging="300"/>
      </w:pPr>
      <w:rPr>
        <w:rFonts w:hint="default"/>
        <w:lang w:val="lt-LT" w:eastAsia="en-US" w:bidi="ar-SA"/>
      </w:rPr>
    </w:lvl>
    <w:lvl w:ilvl="6">
      <w:start w:val="0"/>
      <w:numFmt w:val="bullet"/>
      <w:lvlText w:val="•"/>
      <w:lvlJc w:val="left"/>
      <w:pPr>
        <w:ind w:left="6249" w:hanging="300"/>
      </w:pPr>
      <w:rPr>
        <w:rFonts w:hint="default"/>
        <w:lang w:val="lt-LT" w:eastAsia="en-US" w:bidi="ar-SA"/>
      </w:rPr>
    </w:lvl>
    <w:lvl w:ilvl="7">
      <w:start w:val="0"/>
      <w:numFmt w:val="bullet"/>
      <w:lvlText w:val="•"/>
      <w:lvlJc w:val="left"/>
      <w:pPr>
        <w:ind w:left="7214" w:hanging="300"/>
      </w:pPr>
      <w:rPr>
        <w:rFonts w:hint="default"/>
        <w:lang w:val="lt-LT" w:eastAsia="en-US" w:bidi="ar-SA"/>
      </w:rPr>
    </w:lvl>
    <w:lvl w:ilvl="8">
      <w:start w:val="0"/>
      <w:numFmt w:val="bullet"/>
      <w:lvlText w:val="•"/>
      <w:lvlJc w:val="left"/>
      <w:pPr>
        <w:ind w:left="8179" w:hanging="300"/>
      </w:pPr>
      <w:rPr>
        <w:rFonts w:hint="default"/>
        <w:lang w:val="lt-LT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80" w:hanging="38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0"/>
        <w:szCs w:val="20"/>
        <w:lang w:val="lt-LT" w:eastAsia="en-US" w:bidi="ar-SA"/>
      </w:rPr>
    </w:lvl>
    <w:lvl w:ilvl="1">
      <w:start w:val="0"/>
      <w:numFmt w:val="bullet"/>
      <w:lvlText w:val="•"/>
      <w:lvlJc w:val="left"/>
      <w:pPr>
        <w:ind w:left="1802" w:hanging="380"/>
      </w:pPr>
      <w:rPr>
        <w:rFonts w:hint="default"/>
        <w:lang w:val="lt-LT" w:eastAsia="en-US" w:bidi="ar-SA"/>
      </w:rPr>
    </w:lvl>
    <w:lvl w:ilvl="2">
      <w:start w:val="0"/>
      <w:numFmt w:val="bullet"/>
      <w:lvlText w:val="•"/>
      <w:lvlJc w:val="left"/>
      <w:pPr>
        <w:ind w:left="2725" w:hanging="380"/>
      </w:pPr>
      <w:rPr>
        <w:rFonts w:hint="default"/>
        <w:lang w:val="lt-LT" w:eastAsia="en-US" w:bidi="ar-SA"/>
      </w:rPr>
    </w:lvl>
    <w:lvl w:ilvl="3">
      <w:start w:val="0"/>
      <w:numFmt w:val="bullet"/>
      <w:lvlText w:val="•"/>
      <w:lvlJc w:val="left"/>
      <w:pPr>
        <w:ind w:left="3648" w:hanging="380"/>
      </w:pPr>
      <w:rPr>
        <w:rFonts w:hint="default"/>
        <w:lang w:val="lt-LT" w:eastAsia="en-US" w:bidi="ar-SA"/>
      </w:rPr>
    </w:lvl>
    <w:lvl w:ilvl="4">
      <w:start w:val="0"/>
      <w:numFmt w:val="bullet"/>
      <w:lvlText w:val="•"/>
      <w:lvlJc w:val="left"/>
      <w:pPr>
        <w:ind w:left="4571" w:hanging="380"/>
      </w:pPr>
      <w:rPr>
        <w:rFonts w:hint="default"/>
        <w:lang w:val="lt-LT" w:eastAsia="en-US" w:bidi="ar-SA"/>
      </w:rPr>
    </w:lvl>
    <w:lvl w:ilvl="5">
      <w:start w:val="0"/>
      <w:numFmt w:val="bullet"/>
      <w:lvlText w:val="•"/>
      <w:lvlJc w:val="left"/>
      <w:pPr>
        <w:ind w:left="5494" w:hanging="380"/>
      </w:pPr>
      <w:rPr>
        <w:rFonts w:hint="default"/>
        <w:lang w:val="lt-LT" w:eastAsia="en-US" w:bidi="ar-SA"/>
      </w:rPr>
    </w:lvl>
    <w:lvl w:ilvl="6">
      <w:start w:val="0"/>
      <w:numFmt w:val="bullet"/>
      <w:lvlText w:val="•"/>
      <w:lvlJc w:val="left"/>
      <w:pPr>
        <w:ind w:left="6417" w:hanging="380"/>
      </w:pPr>
      <w:rPr>
        <w:rFonts w:hint="default"/>
        <w:lang w:val="lt-LT" w:eastAsia="en-US" w:bidi="ar-SA"/>
      </w:rPr>
    </w:lvl>
    <w:lvl w:ilvl="7">
      <w:start w:val="0"/>
      <w:numFmt w:val="bullet"/>
      <w:lvlText w:val="•"/>
      <w:lvlJc w:val="left"/>
      <w:pPr>
        <w:ind w:left="7340" w:hanging="380"/>
      </w:pPr>
      <w:rPr>
        <w:rFonts w:hint="default"/>
        <w:lang w:val="lt-LT" w:eastAsia="en-US" w:bidi="ar-SA"/>
      </w:rPr>
    </w:lvl>
    <w:lvl w:ilvl="8">
      <w:start w:val="0"/>
      <w:numFmt w:val="bullet"/>
      <w:lvlText w:val="•"/>
      <w:lvlJc w:val="left"/>
      <w:pPr>
        <w:ind w:left="8263" w:hanging="380"/>
      </w:pPr>
      <w:rPr>
        <w:rFonts w:hint="default"/>
        <w:lang w:val="lt-LT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lt-L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lt-LT" w:eastAsia="en-US" w:bidi="ar-SA"/>
    </w:rPr>
  </w:style>
  <w:style w:styleId="Heading1" w:type="paragraph">
    <w:name w:val="Heading 1"/>
    <w:basedOn w:val="Normal"/>
    <w:uiPriority w:val="1"/>
    <w:qFormat/>
    <w:pPr>
      <w:spacing w:before="1"/>
      <w:ind w:left="443"/>
      <w:outlineLvl w:val="1"/>
    </w:pPr>
    <w:rPr>
      <w:rFonts w:ascii="Arial" w:hAnsi="Arial" w:eastAsia="Arial" w:cs="Arial"/>
      <w:b/>
      <w:bCs/>
      <w:sz w:val="24"/>
      <w:szCs w:val="24"/>
      <w:lang w:val="lt-LT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43"/>
      <w:outlineLvl w:val="2"/>
    </w:pPr>
    <w:rPr>
      <w:rFonts w:ascii="Arial" w:hAnsi="Arial" w:eastAsia="Arial" w:cs="Arial"/>
      <w:b/>
      <w:bCs/>
      <w:sz w:val="22"/>
      <w:szCs w:val="22"/>
      <w:lang w:val="lt-LT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880" w:hanging="380"/>
    </w:pPr>
    <w:rPr>
      <w:rFonts w:ascii="Arial" w:hAnsi="Arial" w:eastAsia="Arial" w:cs="Arial"/>
      <w:lang w:val="lt-LT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lt-L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s://style-guide.europa.eu/en/content/-/isg/topic?identifier=5.4.4-other-disclaimers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mailto:OP-COPYRIGHT@publications.europa.eu" TargetMode="External"/><Relationship Id="rId8" Type="http://schemas.openxmlformats.org/officeDocument/2006/relationships/hyperlink" Target="https://european-union.europa.eu/contact-eu/meet-us_lt" TargetMode="External"/><Relationship Id="rId9" Type="http://schemas.openxmlformats.org/officeDocument/2006/relationships/hyperlink" Target="https://european-union.europa.eu/contact-eu/write-us_lt" TargetMode="External"/><Relationship Id="rId10" Type="http://schemas.openxmlformats.org/officeDocument/2006/relationships/hyperlink" Target="https://european-union.europa.eu/index_lt" TargetMode="External"/><Relationship Id="rId11" Type="http://schemas.openxmlformats.org/officeDocument/2006/relationships/hyperlink" Target="https://op.europa.eu/lt/publications" TargetMode="External"/><Relationship Id="rId12" Type="http://schemas.openxmlformats.org/officeDocument/2006/relationships/hyperlink" Target="https://eur-lex.europa.eu/" TargetMode="External"/><Relationship Id="rId13" Type="http://schemas.openxmlformats.org/officeDocument/2006/relationships/hyperlink" Target="https://data.europa.eu/lt" TargetMode="External"/><Relationship Id="rId1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Central Bank (ECB) and bodies/agencies with legal personality – LT(NB: The Commission’s executive agencies have their own liminary pages.)</dc:title>
  <dcterms:created xsi:type="dcterms:W3CDTF">2025-01-15T11:50:19Z</dcterms:created>
  <dcterms:modified xsi:type="dcterms:W3CDTF">2025-01-15T11:50:19Z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2025-01-15T00:00:00Z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2025-01-15T00:00:00Z</vt:filetime>
  </property>
</Properties>
</file>