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</w:pPr>
      <w:bookmarkStart w:name="European Commission – FR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FR</w:t>
      </w:r>
    </w:p>
    <w:p>
      <w:pPr>
        <w:spacing w:line="550" w:lineRule="atLeast" w:before="8"/>
        <w:ind w:left="160" w:right="6326" w:firstLine="0"/>
        <w:jc w:val="left"/>
        <w:rPr>
          <w:sz w:val="20"/>
        </w:rPr>
      </w:pPr>
      <w:r>
        <w:rPr>
          <w:i/>
          <w:sz w:val="20"/>
        </w:rPr>
        <w:t>Printed by [imprimeur] in [pays]</w:t>
      </w:r>
      <w:r>
        <w:rPr>
          <w:i/>
          <w:spacing w:val="40"/>
          <w:sz w:val="20"/>
        </w:rPr>
        <w:t> </w:t>
      </w:r>
      <w:r>
        <w:rPr>
          <w:sz w:val="20"/>
        </w:rPr>
        <w:t>Manuscrit achevé en [mois] [année] Édition</w:t>
      </w:r>
      <w:r>
        <w:rPr>
          <w:spacing w:val="-12"/>
          <w:sz w:val="20"/>
        </w:rPr>
        <w:t> </w:t>
      </w:r>
      <w:r>
        <w:rPr>
          <w:sz w:val="20"/>
        </w:rPr>
        <w:t>révisée/Édition</w:t>
      </w:r>
      <w:r>
        <w:rPr>
          <w:spacing w:val="-12"/>
          <w:sz w:val="20"/>
        </w:rPr>
        <w:t> </w:t>
      </w:r>
      <w:r>
        <w:rPr>
          <w:sz w:val="20"/>
        </w:rPr>
        <w:t>corrigée/n</w:t>
      </w:r>
      <w:r>
        <w:rPr>
          <w:position w:val="10"/>
          <w:sz w:val="16"/>
        </w:rPr>
        <w:t>e</w:t>
      </w:r>
      <w:r>
        <w:rPr>
          <w:spacing w:val="-1"/>
          <w:position w:val="10"/>
          <w:sz w:val="16"/>
        </w:rPr>
        <w:t> </w:t>
      </w:r>
      <w:r>
        <w:rPr>
          <w:sz w:val="20"/>
        </w:rPr>
        <w:t>édition </w:t>
      </w:r>
      <w:r>
        <w:rPr>
          <w:color w:val="FF0000"/>
          <w:sz w:val="20"/>
        </w:rPr>
        <w:t>Legal disclaimer </w:t>
      </w:r>
      <w:bookmarkStart w:name="_bookmark0" w:id="2"/>
      <w:bookmarkEnd w:id="2"/>
      <w:r>
        <w:rPr>
          <w:color w:val="FF0000"/>
          <w:spacing w:val="-1"/>
          <w:sz w:val="20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  <w:sz w:val="20"/>
        </w:rPr>
        <w:t>:</w:t>
      </w:r>
    </w:p>
    <w:p>
      <w:pPr>
        <w:pStyle w:val="BodyText"/>
        <w:spacing w:line="244" w:lineRule="auto" w:before="128"/>
      </w:pPr>
      <w:r>
        <w:rPr/>
        <w:t>Ce</w:t>
      </w:r>
      <w:r>
        <w:rPr>
          <w:spacing w:val="-3"/>
        </w:rPr>
        <w:t> </w:t>
      </w:r>
      <w:r>
        <w:rPr/>
        <w:t>document</w:t>
      </w:r>
      <w:r>
        <w:rPr>
          <w:spacing w:val="-3"/>
        </w:rPr>
        <w:t> </w:t>
      </w:r>
      <w:r>
        <w:rPr/>
        <w:t>ne</w:t>
      </w:r>
      <w:r>
        <w:rPr>
          <w:spacing w:val="-3"/>
        </w:rPr>
        <w:t> </w:t>
      </w:r>
      <w:r>
        <w:rPr/>
        <w:t>peut</w:t>
      </w:r>
      <w:r>
        <w:rPr>
          <w:spacing w:val="-4"/>
        </w:rPr>
        <w:t> </w:t>
      </w:r>
      <w:r>
        <w:rPr/>
        <w:t>être</w:t>
      </w:r>
      <w:r>
        <w:rPr>
          <w:spacing w:val="-3"/>
        </w:rPr>
        <w:t> </w:t>
      </w:r>
      <w:r>
        <w:rPr/>
        <w:t>considéré</w:t>
      </w:r>
      <w:r>
        <w:rPr>
          <w:spacing w:val="-3"/>
        </w:rPr>
        <w:t> </w:t>
      </w:r>
      <w:r>
        <w:rPr/>
        <w:t>comme</w:t>
      </w:r>
      <w:r>
        <w:rPr>
          <w:spacing w:val="-3"/>
        </w:rPr>
        <w:t> </w:t>
      </w:r>
      <w:r>
        <w:rPr/>
        <w:t>constituant</w:t>
      </w:r>
      <w:r>
        <w:rPr>
          <w:spacing w:val="-4"/>
        </w:rPr>
        <w:t> </w:t>
      </w:r>
      <w:r>
        <w:rPr/>
        <w:t>une</w:t>
      </w:r>
      <w:r>
        <w:rPr>
          <w:spacing w:val="-3"/>
        </w:rPr>
        <w:t> </w:t>
      </w:r>
      <w:r>
        <w:rPr/>
        <w:t>prise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position</w:t>
      </w:r>
      <w:r>
        <w:rPr>
          <w:spacing w:val="-4"/>
        </w:rPr>
        <w:t> </w:t>
      </w:r>
      <w:r>
        <w:rPr/>
        <w:t>officielle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Commission </w:t>
      </w:r>
      <w:r>
        <w:rPr>
          <w:spacing w:val="-2"/>
        </w:rPr>
        <w:t>européenne.</w:t>
      </w:r>
    </w:p>
    <w:p>
      <w:pPr>
        <w:pStyle w:val="BodyText"/>
        <w:spacing w:line="558" w:lineRule="exact" w:before="64"/>
        <w:ind w:right="3323"/>
      </w:pPr>
      <w:r>
        <w:rPr/>
        <w:t>Luxembourg:</w:t>
      </w:r>
      <w:r>
        <w:rPr>
          <w:spacing w:val="-7"/>
        </w:rPr>
        <w:t> </w:t>
      </w:r>
      <w:r>
        <w:rPr/>
        <w:t>Office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publications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l’Union</w:t>
      </w:r>
      <w:r>
        <w:rPr>
          <w:spacing w:val="-7"/>
        </w:rPr>
        <w:t> </w:t>
      </w:r>
      <w:r>
        <w:rPr/>
        <w:t>européenne,</w:t>
      </w:r>
      <w:r>
        <w:rPr>
          <w:spacing w:val="-7"/>
        </w:rPr>
        <w:t> </w:t>
      </w:r>
      <w:r>
        <w:rPr/>
        <w:t>[année]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195" w:lineRule="exact"/>
      </w:pPr>
      <w:r>
        <w:rPr/>
        <w:t>©</w:t>
      </w:r>
      <w:r>
        <w:rPr>
          <w:spacing w:val="-6"/>
        </w:rPr>
        <w:t> </w:t>
      </w:r>
      <w:r>
        <w:rPr/>
        <w:t>Union</w:t>
      </w:r>
      <w:r>
        <w:rPr>
          <w:spacing w:val="-5"/>
        </w:rPr>
        <w:t> </w:t>
      </w:r>
      <w:r>
        <w:rPr/>
        <w:t>européenne,</w:t>
      </w:r>
      <w:r>
        <w:rPr>
          <w:spacing w:val="-5"/>
        </w:rPr>
        <w:t> </w:t>
      </w:r>
      <w:r>
        <w:rPr>
          <w:spacing w:val="-2"/>
        </w:rPr>
        <w:t>[année]</w:t>
      </w:r>
    </w:p>
    <w:p>
      <w:pPr>
        <w:pStyle w:val="BodyText"/>
        <w:spacing w:before="10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66025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198853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3;width:1800;height:630" id="docshape3" coordorigin="1020,104" coordsize="1800,630" path="m2817,734l1024,734,1020,731,1020,138,1023,125,1030,114,1041,107,1054,104,2787,104,2800,107,2811,114,2814,119,1044,119,1036,127,1036,547,1096,547,1138,603,1192,646,1257,675,1330,685,2820,685,2820,731,2817,734xm2820,685l1330,685,1402,675,1467,646,1521,603,1563,547,2805,547,2805,127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3" coordsize="1138,502" path="m1534,398l1518,318,1474,253,1409,209,1330,193,1250,210,1185,253,1141,318,1125,398,1141,478,1185,543,1250,587,1330,603,1409,587,1474,543,1518,478,1534,398xm2164,671l2164,659,2163,654,2160,650,2157,645,2152,642,2146,641,2150,638,2154,636,2154,635,2158,629,2159,625,2159,615,2159,612,2159,611,2156,605,2153,602,2148,599,2144,597,2142,597,2142,659,2142,667,2142,669,2140,673,2139,674,2136,676,2134,676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3" coordsize="469,470" path="m1329,633l1283,628,1283,628,1240,615,1240,615,1201,594,1165,563,1134,527,1113,488,1100,444,1095,398,1100,352,1113,308,1134,268,1165,231,1200,202,1240,180,1283,168,1329,163,1377,168,1420,180,1460,202,1465,206,1330,206,1292,209,1257,220,1225,237,1195,262,1170,292,1152,325,1141,360,1138,398,1138,398,1141,433,1141,434,1141,436,1152,471,1170,503,1195,533,1224,558,1257,576,1256,576,1292,586,1292,586,1330,590,1464,590,1460,593,1420,615,1376,628,1329,633xm1464,590l1330,590,1368,586,1404,576,1437,558,1467,532,1491,504,1508,472,1519,437,1522,398,1519,362,1519,360,1518,359,1508,324,1490,291,1466,262,1436,237,1404,220,1369,209,1330,206,1465,206,1496,231,1526,267,1547,307,1560,351,1564,398,1564,398,1560,444,1560,445,1547,489,1526,528,1497,563,1464,590xm1266,471l1266,471,1251,470,1238,466,1226,460,1216,452,1207,441,1201,428,1198,414,1197,398,1198,382,1201,368,1208,356,1216,345,1227,336,1238,330,1251,326,1267,325,1264,325,1285,327,1302,334,1316,344,1325,356,1270,356,1256,359,1247,367,1241,380,1239,398,1241,416,1247,429,1256,437,1256,437,1270,440,1324,440,1316,450,1302,462,1285,469,1266,471xm1402,471l1402,471,1387,470,1373,466,1362,460,1351,452,1343,441,1337,428,1333,414,1332,398,1333,382,1337,368,1343,356,1352,345,1362,336,1373,330,1386,326,1402,325,1399,325,1421,327,1438,334,1452,344,1460,356,1405,356,1391,359,1381,367,1375,380,1374,398,1375,416,1381,429,1391,437,1391,437,1405,440,1459,440,1452,450,1438,462,1421,469,1402,471xm1296,375l1290,362,1281,356,1325,356,1327,359,1296,375xm1431,375l1425,362,1416,356,1460,356,1463,359,1431,375xm1324,440l1283,440,1293,433,1299,419,1328,434,1324,440xm1459,440l1419,440,1428,433,1434,419,1463,434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29"/>
      </w:pPr>
      <w:r>
        <w:rPr/>
        <w:t>La</w:t>
      </w:r>
      <w:r>
        <w:rPr>
          <w:spacing w:val="-3"/>
        </w:rPr>
        <w:t> </w:t>
      </w:r>
      <w:r>
        <w:rPr/>
        <w:t>politique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Commission</w:t>
      </w:r>
      <w:r>
        <w:rPr>
          <w:spacing w:val="-3"/>
        </w:rPr>
        <w:t> </w:t>
      </w:r>
      <w:r>
        <w:rPr/>
        <w:t>en</w:t>
      </w:r>
      <w:r>
        <w:rPr>
          <w:spacing w:val="-3"/>
        </w:rPr>
        <w:t> </w:t>
      </w:r>
      <w:r>
        <w:rPr/>
        <w:t>matière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réutilisation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l’information</w:t>
      </w:r>
      <w:r>
        <w:rPr>
          <w:spacing w:val="-3"/>
        </w:rPr>
        <w:t> </w:t>
      </w:r>
      <w:r>
        <w:rPr/>
        <w:t>est</w:t>
      </w:r>
      <w:r>
        <w:rPr>
          <w:spacing w:val="-3"/>
        </w:rPr>
        <w:t> </w:t>
      </w:r>
      <w:r>
        <w:rPr/>
        <w:t>mise</w:t>
      </w:r>
      <w:r>
        <w:rPr>
          <w:spacing w:val="-3"/>
        </w:rPr>
        <w:t> </w:t>
      </w:r>
      <w:r>
        <w:rPr/>
        <w:t>en</w:t>
      </w:r>
      <w:r>
        <w:rPr>
          <w:spacing w:val="-3"/>
        </w:rPr>
        <w:t> </w:t>
      </w:r>
      <w:r>
        <w:rPr/>
        <w:t>œuvre</w:t>
      </w:r>
      <w:r>
        <w:rPr>
          <w:spacing w:val="-3"/>
        </w:rPr>
        <w:t> </w:t>
      </w:r>
      <w:r>
        <w:rPr/>
        <w:t>par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décision 2011/833/UE de la Commission du 12 décembre 2011 relative à la réutilisation des documents de la Commission (JO L 330 du 14.12.2011, p. 39, ELI: </w:t>
      </w:r>
      <w:hyperlink r:id="rId6">
        <w:r>
          <w:rPr>
            <w:color w:val="337AB7"/>
            <w:u w:val="single" w:color="337AB7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Sauf mention contraire, la réutilisation du présent document est autorisée dans le cadre de la licence Creative Commons</w:t>
      </w:r>
      <w:r>
        <w:rPr>
          <w:spacing w:val="-5"/>
        </w:rPr>
        <w:t> </w:t>
      </w:r>
      <w:r>
        <w:rPr/>
        <w:t>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Cela</w:t>
      </w:r>
      <w:r>
        <w:rPr>
          <w:spacing w:val="-5"/>
          <w:u w:val="none"/>
        </w:rPr>
        <w:t> </w:t>
      </w:r>
      <w:r>
        <w:rPr>
          <w:u w:val="none"/>
        </w:rPr>
        <w:t>signifie que</w:t>
      </w:r>
      <w:r>
        <w:rPr>
          <w:spacing w:val="-1"/>
          <w:u w:val="none"/>
        </w:rPr>
        <w:t> </w:t>
      </w:r>
      <w:r>
        <w:rPr>
          <w:u w:val="none"/>
        </w:rPr>
        <w:t>la</w:t>
      </w:r>
      <w:r>
        <w:rPr>
          <w:spacing w:val="-1"/>
          <w:u w:val="none"/>
        </w:rPr>
        <w:t> </w:t>
      </w:r>
      <w:r>
        <w:rPr>
          <w:u w:val="none"/>
        </w:rPr>
        <w:t>réutilisation</w:t>
      </w:r>
      <w:r>
        <w:rPr>
          <w:spacing w:val="-1"/>
          <w:u w:val="none"/>
        </w:rPr>
        <w:t> </w:t>
      </w:r>
      <w:r>
        <w:rPr>
          <w:u w:val="none"/>
        </w:rPr>
        <w:t>est</w:t>
      </w:r>
      <w:r>
        <w:rPr>
          <w:spacing w:val="-1"/>
          <w:u w:val="none"/>
        </w:rPr>
        <w:t> </w:t>
      </w:r>
      <w:r>
        <w:rPr>
          <w:u w:val="none"/>
        </w:rPr>
        <w:t>autorisée</w:t>
      </w:r>
      <w:r>
        <w:rPr>
          <w:spacing w:val="-1"/>
          <w:u w:val="none"/>
        </w:rPr>
        <w:t> </w:t>
      </w:r>
      <w:r>
        <w:rPr>
          <w:u w:val="none"/>
        </w:rPr>
        <w:t>moyennant</w:t>
      </w:r>
      <w:r>
        <w:rPr>
          <w:spacing w:val="-1"/>
          <w:u w:val="none"/>
        </w:rPr>
        <w:t> </w:t>
      </w:r>
      <w:r>
        <w:rPr>
          <w:u w:val="none"/>
        </w:rPr>
        <w:t>citation</w:t>
      </w:r>
      <w:r>
        <w:rPr>
          <w:spacing w:val="-1"/>
          <w:u w:val="none"/>
        </w:rPr>
        <w:t> </w:t>
      </w:r>
      <w:r>
        <w:rPr>
          <w:u w:val="none"/>
        </w:rPr>
        <w:t>appropriée</w:t>
      </w:r>
      <w:r>
        <w:rPr>
          <w:spacing w:val="-1"/>
          <w:u w:val="none"/>
        </w:rPr>
        <w:t> </w:t>
      </w:r>
      <w:r>
        <w:rPr>
          <w:u w:val="none"/>
        </w:rPr>
        <w:t>de</w:t>
      </w:r>
      <w:r>
        <w:rPr>
          <w:spacing w:val="-1"/>
          <w:u w:val="none"/>
        </w:rPr>
        <w:t> </w:t>
      </w:r>
      <w:r>
        <w:rPr>
          <w:u w:val="none"/>
        </w:rPr>
        <w:t>la</w:t>
      </w:r>
      <w:r>
        <w:rPr>
          <w:spacing w:val="-1"/>
          <w:u w:val="none"/>
        </w:rPr>
        <w:t> </w:t>
      </w:r>
      <w:r>
        <w:rPr>
          <w:u w:val="none"/>
        </w:rPr>
        <w:t>source</w:t>
      </w:r>
      <w:r>
        <w:rPr>
          <w:spacing w:val="-1"/>
          <w:u w:val="none"/>
        </w:rPr>
        <w:t> </w:t>
      </w:r>
      <w:r>
        <w:rPr>
          <w:u w:val="none"/>
        </w:rPr>
        <w:t>et</w:t>
      </w:r>
      <w:r>
        <w:rPr>
          <w:spacing w:val="-1"/>
          <w:u w:val="none"/>
        </w:rPr>
        <w:t> </w:t>
      </w:r>
      <w:r>
        <w:rPr>
          <w:u w:val="none"/>
        </w:rPr>
        <w:t>indication</w:t>
      </w:r>
      <w:r>
        <w:rPr>
          <w:spacing w:val="-1"/>
          <w:u w:val="none"/>
        </w:rPr>
        <w:t> </w:t>
      </w:r>
      <w:r>
        <w:rPr>
          <w:u w:val="none"/>
        </w:rPr>
        <w:t>de</w:t>
      </w:r>
      <w:r>
        <w:rPr>
          <w:spacing w:val="-1"/>
          <w:u w:val="none"/>
        </w:rPr>
        <w:t> </w:t>
      </w:r>
      <w:r>
        <w:rPr>
          <w:u w:val="none"/>
        </w:rPr>
        <w:t>toute</w:t>
      </w:r>
      <w:r>
        <w:rPr>
          <w:spacing w:val="-1"/>
          <w:u w:val="none"/>
        </w:rPr>
        <w:t> </w:t>
      </w:r>
      <w:r>
        <w:rPr>
          <w:u w:val="none"/>
        </w:rPr>
        <w:t>modification.</w:t>
      </w:r>
    </w:p>
    <w:p>
      <w:pPr>
        <w:pStyle w:val="BodyText"/>
        <w:spacing w:before="92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492"/>
      </w:pPr>
      <w:r>
        <w:rPr/>
        <w:t>Pour</w:t>
      </w:r>
      <w:r>
        <w:rPr>
          <w:spacing w:val="-3"/>
        </w:rPr>
        <w:t> </w:t>
      </w:r>
      <w:r>
        <w:rPr/>
        <w:t>toute</w:t>
      </w:r>
      <w:r>
        <w:rPr>
          <w:spacing w:val="-3"/>
        </w:rPr>
        <w:t> </w:t>
      </w:r>
      <w:r>
        <w:rPr/>
        <w:t>utilisation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reproduction</w:t>
      </w:r>
      <w:r>
        <w:rPr>
          <w:spacing w:val="-3"/>
        </w:rPr>
        <w:t> </w:t>
      </w:r>
      <w:r>
        <w:rPr/>
        <w:t>d’éléments</w:t>
      </w:r>
      <w:r>
        <w:rPr>
          <w:spacing w:val="-3"/>
        </w:rPr>
        <w:t> </w:t>
      </w:r>
      <w:r>
        <w:rPr/>
        <w:t>qui</w:t>
      </w:r>
      <w:r>
        <w:rPr>
          <w:spacing w:val="-3"/>
        </w:rPr>
        <w:t> </w:t>
      </w:r>
      <w:r>
        <w:rPr/>
        <w:t>ne</w:t>
      </w:r>
      <w:r>
        <w:rPr>
          <w:spacing w:val="-3"/>
        </w:rPr>
        <w:t> </w:t>
      </w:r>
      <w:r>
        <w:rPr/>
        <w:t>sont</w:t>
      </w:r>
      <w:r>
        <w:rPr>
          <w:spacing w:val="-3"/>
        </w:rPr>
        <w:t> </w:t>
      </w:r>
      <w:r>
        <w:rPr/>
        <w:t>pas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propriété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l’Union</w:t>
      </w:r>
      <w:r>
        <w:rPr>
          <w:spacing w:val="-3"/>
        </w:rPr>
        <w:t> </w:t>
      </w:r>
      <w:r>
        <w:rPr/>
        <w:t>européenne,</w:t>
      </w:r>
      <w:r>
        <w:rPr>
          <w:spacing w:val="-3"/>
        </w:rPr>
        <w:t> </w:t>
      </w:r>
      <w:r>
        <w:rPr/>
        <w:t>il</w:t>
      </w:r>
      <w:r>
        <w:rPr>
          <w:spacing w:val="-3"/>
        </w:rPr>
        <w:t> </w:t>
      </w:r>
      <w:r>
        <w:rPr/>
        <w:t>peut être nécessaire de demander l’autorisation directement auprès des titulaires de droits respectifs. L’Union européenne ne détient pas les droits d’auteur relatifs aux éléments suivants: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couverture,</w:t>
      </w:r>
      <w:r>
        <w:rPr>
          <w:spacing w:val="-7"/>
          <w:sz w:val="20"/>
        </w:rPr>
        <w:t> </w:t>
      </w:r>
      <w:r>
        <w:rPr>
          <w:sz w:val="20"/>
        </w:rPr>
        <w:t>[élément</w:t>
      </w:r>
      <w:r>
        <w:rPr>
          <w:spacing w:val="-7"/>
          <w:sz w:val="20"/>
        </w:rPr>
        <w:t> </w:t>
      </w:r>
      <w:r>
        <w:rPr>
          <w:sz w:val="20"/>
        </w:rPr>
        <w:t>concerné],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6"/>
          <w:sz w:val="20"/>
        </w:rPr>
        <w:t> </w:t>
      </w:r>
      <w:r>
        <w:rPr>
          <w:sz w:val="20"/>
        </w:rPr>
        <w:t>par</w:t>
      </w:r>
      <w:r>
        <w:rPr>
          <w:spacing w:val="-7"/>
          <w:sz w:val="20"/>
        </w:rPr>
        <w:t> </w:t>
      </w:r>
      <w:r>
        <w:rPr>
          <w:sz w:val="20"/>
        </w:rPr>
        <w:t>exemple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[élément</w:t>
      </w:r>
      <w:r>
        <w:rPr>
          <w:spacing w:val="-5"/>
          <w:sz w:val="20"/>
        </w:rPr>
        <w:t> </w:t>
      </w:r>
      <w:r>
        <w:rPr>
          <w:sz w:val="20"/>
        </w:rPr>
        <w:t>concerné],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4"/>
          <w:sz w:val="20"/>
        </w:rPr>
        <w:t> </w:t>
      </w:r>
      <w:r>
        <w:rPr>
          <w:sz w:val="20"/>
        </w:rPr>
        <w:t>par</w:t>
      </w:r>
      <w:r>
        <w:rPr>
          <w:spacing w:val="-6"/>
          <w:sz w:val="20"/>
        </w:rPr>
        <w:t> </w:t>
      </w:r>
      <w:r>
        <w:rPr>
          <w:sz w:val="20"/>
        </w:rPr>
        <w:t>exemple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[auteur],</w:t>
      </w:r>
      <w:r>
        <w:rPr>
          <w:spacing w:val="-5"/>
          <w:sz w:val="20"/>
        </w:rPr>
        <w:t> </w:t>
      </w:r>
      <w:r>
        <w:rPr>
          <w:sz w:val="20"/>
        </w:rPr>
        <w:t>tous</w:t>
      </w:r>
      <w:r>
        <w:rPr>
          <w:spacing w:val="-6"/>
          <w:sz w:val="20"/>
        </w:rPr>
        <w:t> </w:t>
      </w:r>
      <w:r>
        <w:rPr>
          <w:sz w:val="20"/>
        </w:rPr>
        <w:t>droits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réservés;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460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[élément</w:t>
      </w:r>
      <w:r>
        <w:rPr>
          <w:spacing w:val="-4"/>
          <w:sz w:val="20"/>
        </w:rPr>
        <w:t> </w:t>
      </w:r>
      <w:r>
        <w:rPr>
          <w:sz w:val="20"/>
        </w:rPr>
        <w:t>concerné],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3"/>
          <w:sz w:val="20"/>
        </w:rPr>
        <w:t> </w:t>
      </w:r>
      <w:r>
        <w:rPr>
          <w:sz w:val="20"/>
        </w:rPr>
        <w:t>par</w:t>
      </w:r>
      <w:r>
        <w:rPr>
          <w:spacing w:val="-4"/>
          <w:sz w:val="20"/>
        </w:rPr>
        <w:t> </w:t>
      </w:r>
      <w:r>
        <w:rPr>
          <w:sz w:val="20"/>
        </w:rPr>
        <w:t>exemple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[auteur],</w:t>
      </w:r>
      <w:r>
        <w:rPr>
          <w:spacing w:val="-4"/>
          <w:sz w:val="20"/>
        </w:rPr>
        <w:t> </w:t>
      </w:r>
      <w:r>
        <w:rPr>
          <w:sz w:val="20"/>
        </w:rPr>
        <w:t>sous</w:t>
      </w:r>
      <w:r>
        <w:rPr>
          <w:spacing w:val="-4"/>
          <w:sz w:val="20"/>
        </w:rPr>
        <w:t> </w:t>
      </w:r>
      <w:r>
        <w:rPr>
          <w:sz w:val="20"/>
        </w:rPr>
        <w:t>licence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lien vers la licence];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[illustration/photo/etc.],</w:t>
      </w:r>
      <w:r>
        <w:rPr>
          <w:spacing w:val="-6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</w:t>
      </w:r>
      <w:r>
        <w:rPr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5"/>
          <w:sz w:val="20"/>
        </w:rPr>
        <w:t> </w:t>
      </w:r>
      <w:r>
        <w:rPr>
          <w:sz w:val="20"/>
        </w:rPr>
        <w:t>l’artiste],</w:t>
      </w:r>
      <w:r>
        <w:rPr>
          <w:spacing w:val="-6"/>
          <w:sz w:val="20"/>
        </w:rPr>
        <w:t> </w:t>
      </w:r>
      <w:r>
        <w:rPr>
          <w:sz w:val="20"/>
        </w:rPr>
        <w:t>[année],</w:t>
      </w:r>
      <w:r>
        <w:rPr>
          <w:spacing w:val="-5"/>
          <w:sz w:val="20"/>
        </w:rPr>
        <w:t> </w:t>
      </w:r>
      <w:r>
        <w:rPr>
          <w:sz w:val="20"/>
        </w:rPr>
        <w:t>tous</w:t>
      </w:r>
      <w:r>
        <w:rPr>
          <w:spacing w:val="-6"/>
          <w:sz w:val="20"/>
        </w:rPr>
        <w:t> </w:t>
      </w:r>
      <w:r>
        <w:rPr>
          <w:sz w:val="20"/>
        </w:rPr>
        <w:t>droits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réservés.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Pour</w:t>
      </w:r>
      <w:r>
        <w:rPr>
          <w:spacing w:val="-3"/>
        </w:rPr>
        <w:t> </w:t>
      </w:r>
      <w:r>
        <w:rPr/>
        <w:t>toute</w:t>
      </w:r>
      <w:r>
        <w:rPr>
          <w:spacing w:val="-3"/>
        </w:rPr>
        <w:t> </w:t>
      </w:r>
      <w:r>
        <w:rPr/>
        <w:t>utilisation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reproduction</w:t>
      </w:r>
      <w:r>
        <w:rPr>
          <w:spacing w:val="-3"/>
        </w:rPr>
        <w:t> </w:t>
      </w:r>
      <w:r>
        <w:rPr/>
        <w:t>d’éléments</w:t>
      </w:r>
      <w:r>
        <w:rPr>
          <w:spacing w:val="-3"/>
        </w:rPr>
        <w:t> </w:t>
      </w:r>
      <w:r>
        <w:rPr/>
        <w:t>qui</w:t>
      </w:r>
      <w:r>
        <w:rPr>
          <w:spacing w:val="-3"/>
        </w:rPr>
        <w:t> </w:t>
      </w:r>
      <w:r>
        <w:rPr/>
        <w:t>ne</w:t>
      </w:r>
      <w:r>
        <w:rPr>
          <w:spacing w:val="-3"/>
        </w:rPr>
        <w:t> </w:t>
      </w:r>
      <w:r>
        <w:rPr/>
        <w:t>sont</w:t>
      </w:r>
      <w:r>
        <w:rPr>
          <w:spacing w:val="-3"/>
        </w:rPr>
        <w:t> </w:t>
      </w:r>
      <w:r>
        <w:rPr/>
        <w:t>pas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propriété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l’Union</w:t>
      </w:r>
      <w:r>
        <w:rPr>
          <w:spacing w:val="-3"/>
        </w:rPr>
        <w:t> </w:t>
      </w:r>
      <w:r>
        <w:rPr/>
        <w:t>européenne,</w:t>
      </w:r>
      <w:r>
        <w:rPr>
          <w:spacing w:val="-3"/>
        </w:rPr>
        <w:t> </w:t>
      </w:r>
      <w:r>
        <w:rPr/>
        <w:t>il</w:t>
      </w:r>
      <w:r>
        <w:rPr>
          <w:spacing w:val="-3"/>
        </w:rPr>
        <w:t> </w:t>
      </w:r>
      <w:r>
        <w:rPr/>
        <w:t>peut</w:t>
      </w:r>
      <w:r>
        <w:rPr>
          <w:spacing w:val="-3"/>
        </w:rPr>
        <w:t> </w:t>
      </w:r>
      <w:r>
        <w:rPr/>
        <w:t>être nécessaire de demander l’autorisation directement auprès des titulaires de droits respectifs.</w:t>
      </w:r>
    </w:p>
    <w:p>
      <w:pPr>
        <w:pStyle w:val="BodyText"/>
        <w:spacing w:before="127" w:after="1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8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277186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1.825699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465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(replace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CC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logo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-11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Union</w:t>
      </w:r>
      <w:r>
        <w:rPr>
          <w:rFonts w:ascii="Gill Sans MT" w:hAnsi="Gill Sans MT"/>
          <w:spacing w:val="-11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européenne,</w:t>
      </w:r>
      <w:r>
        <w:rPr>
          <w:rFonts w:ascii="Gill Sans MT" w:hAnsi="Gill Sans MT"/>
          <w:spacing w:val="-11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[année]</w:t>
      </w:r>
    </w:p>
    <w:p>
      <w:pPr>
        <w:spacing w:line="268" w:lineRule="auto" w:before="26"/>
        <w:ind w:left="460" w:right="77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Réutilisation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autorisée,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moyennant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mention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source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et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non-altération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du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sens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ou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du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message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originel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du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présent document.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Commission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européenne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ne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peut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en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aucun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cas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être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tenue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pour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responsable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l’usage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fait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cette publication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en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cas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réutilisation.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politique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réutilisation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des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documents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Commission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européenne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est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mise en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œuvre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sur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base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décision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2011/833/UE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Commission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du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12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décembre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relative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à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réutilisation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des </w:t>
      </w:r>
      <w:r>
        <w:rPr>
          <w:rFonts w:ascii="Gill Sans MT" w:hAnsi="Gill Sans MT"/>
          <w:spacing w:val="-2"/>
          <w:w w:val="115"/>
          <w:sz w:val="18"/>
        </w:rPr>
        <w:t>documents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de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la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Commission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(JO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L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330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du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14.12.2011,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p.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39,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ELI:</w:t>
      </w:r>
      <w:r>
        <w:rPr>
          <w:rFonts w:ascii="Gill Sans MT" w:hAnsi="Gill Sans MT"/>
          <w:spacing w:val="-4"/>
          <w:w w:val="115"/>
          <w:sz w:val="18"/>
        </w:rPr>
        <w:t> </w:t>
      </w:r>
      <w:hyperlink r:id="rId6">
        <w:r>
          <w:rPr>
            <w:rFonts w:ascii="Gill Sans MT" w:hAnsi="Gill Sans MT"/>
            <w:color w:val="337AB7"/>
            <w:spacing w:val="-2"/>
            <w:w w:val="115"/>
            <w:sz w:val="18"/>
            <w:u w:val="single" w:color="337AB7"/>
          </w:rPr>
          <w:t>http://data.europa.eu/eli/dec/2011/833/oj</w:t>
        </w:r>
      </w:hyperlink>
      <w:r>
        <w:rPr>
          <w:rFonts w:ascii="Gill Sans MT" w:hAnsi="Gill Sans MT"/>
          <w:spacing w:val="-2"/>
          <w:w w:val="115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Comment</w:t>
      </w:r>
      <w:r>
        <w:rPr>
          <w:spacing w:val="-6"/>
        </w:rPr>
        <w:t> </w:t>
      </w:r>
      <w:r>
        <w:rPr/>
        <w:t>prendre</w:t>
      </w:r>
      <w:r>
        <w:rPr>
          <w:spacing w:val="-4"/>
        </w:rPr>
        <w:t> </w:t>
      </w:r>
      <w:r>
        <w:rPr/>
        <w:t>contact</w:t>
      </w:r>
      <w:r>
        <w:rPr>
          <w:spacing w:val="-4"/>
        </w:rPr>
        <w:t> </w:t>
      </w:r>
      <w:r>
        <w:rPr/>
        <w:t>avec</w:t>
      </w:r>
      <w:r>
        <w:rPr>
          <w:spacing w:val="-4"/>
        </w:rPr>
        <w:t> </w:t>
      </w:r>
      <w:r>
        <w:rPr/>
        <w:t>l’Union</w:t>
      </w:r>
      <w:r>
        <w:rPr>
          <w:spacing w:val="-4"/>
        </w:rPr>
        <w:t> </w:t>
      </w:r>
      <w:r>
        <w:rPr>
          <w:spacing w:val="-2"/>
        </w:rPr>
        <w:t>européenne?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personne</w:t>
      </w:r>
    </w:p>
    <w:p>
      <w:pPr>
        <w:spacing w:line="290" w:lineRule="auto" w:before="167"/>
        <w:ind w:left="443" w:right="1277" w:firstLine="0"/>
        <w:jc w:val="left"/>
        <w:rPr>
          <w:sz w:val="22"/>
        </w:rPr>
      </w:pPr>
      <w:r>
        <w:rPr>
          <w:sz w:val="22"/>
        </w:rPr>
        <w:t>Dans toute l’Union européenne, des centaines de centres Europe Direct sont à votre disposition.</w:t>
      </w:r>
      <w:r>
        <w:rPr>
          <w:spacing w:val="-4"/>
          <w:sz w:val="22"/>
        </w:rPr>
        <w:t> </w:t>
      </w:r>
      <w:r>
        <w:rPr>
          <w:sz w:val="22"/>
        </w:rPr>
        <w:t>Pour</w:t>
      </w:r>
      <w:r>
        <w:rPr>
          <w:spacing w:val="-4"/>
          <w:sz w:val="22"/>
        </w:rPr>
        <w:t> </w:t>
      </w:r>
      <w:r>
        <w:rPr>
          <w:sz w:val="22"/>
        </w:rPr>
        <w:t>connaître</w:t>
      </w:r>
      <w:r>
        <w:rPr>
          <w:spacing w:val="-4"/>
          <w:sz w:val="22"/>
        </w:rPr>
        <w:t> </w:t>
      </w:r>
      <w:r>
        <w:rPr>
          <w:sz w:val="22"/>
        </w:rPr>
        <w:t>l’adresse</w:t>
      </w:r>
      <w:r>
        <w:rPr>
          <w:spacing w:val="-4"/>
          <w:sz w:val="22"/>
        </w:rPr>
        <w:t> </w:t>
      </w:r>
      <w:r>
        <w:rPr>
          <w:sz w:val="22"/>
        </w:rPr>
        <w:t>du</w:t>
      </w:r>
      <w:r>
        <w:rPr>
          <w:spacing w:val="-4"/>
          <w:sz w:val="22"/>
        </w:rPr>
        <w:t> </w:t>
      </w:r>
      <w:r>
        <w:rPr>
          <w:sz w:val="22"/>
        </w:rPr>
        <w:t>centre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plus</w:t>
      </w:r>
      <w:r>
        <w:rPr>
          <w:spacing w:val="-4"/>
          <w:sz w:val="22"/>
        </w:rPr>
        <w:t> </w:t>
      </w:r>
      <w:r>
        <w:rPr>
          <w:sz w:val="22"/>
        </w:rPr>
        <w:t>proche,</w:t>
      </w:r>
      <w:r>
        <w:rPr>
          <w:spacing w:val="-4"/>
          <w:sz w:val="22"/>
        </w:rPr>
        <w:t> </w:t>
      </w:r>
      <w:r>
        <w:rPr>
          <w:sz w:val="22"/>
        </w:rPr>
        <w:t>visitez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page</w:t>
      </w:r>
      <w:r>
        <w:rPr>
          <w:spacing w:val="-4"/>
          <w:sz w:val="22"/>
        </w:rPr>
        <w:t> </w:t>
      </w:r>
      <w:r>
        <w:rPr>
          <w:sz w:val="22"/>
        </w:rPr>
        <w:t>suivante: </w:t>
      </w:r>
      <w:hyperlink r:id="rId10">
        <w:r>
          <w:rPr>
            <w:color w:val="337AB7"/>
            <w:spacing w:val="-2"/>
            <w:sz w:val="22"/>
            <w:u w:val="single" w:color="337AB7"/>
          </w:rPr>
          <w:t>european-union.europa.eu/contact-eu/meet-us_fr</w:t>
        </w:r>
      </w:hyperlink>
    </w:p>
    <w:p>
      <w:pPr>
        <w:pStyle w:val="Heading2"/>
      </w:pPr>
      <w:r>
        <w:rPr/>
        <w:t>Par</w:t>
      </w:r>
      <w:r>
        <w:rPr>
          <w:spacing w:val="-5"/>
        </w:rPr>
        <w:t> </w:t>
      </w:r>
      <w:r>
        <w:rPr/>
        <w:t>téléphone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>
          <w:spacing w:val="-2"/>
        </w:rPr>
        <w:t>écrit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est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service</w:t>
      </w:r>
      <w:r>
        <w:rPr>
          <w:spacing w:val="-4"/>
          <w:sz w:val="22"/>
        </w:rPr>
        <w:t> </w:t>
      </w:r>
      <w:r>
        <w:rPr>
          <w:sz w:val="22"/>
        </w:rPr>
        <w:t>qui</w:t>
      </w:r>
      <w:r>
        <w:rPr>
          <w:spacing w:val="-4"/>
          <w:sz w:val="22"/>
        </w:rPr>
        <w:t> </w:t>
      </w:r>
      <w:r>
        <w:rPr>
          <w:sz w:val="22"/>
        </w:rPr>
        <w:t>répond</w:t>
      </w:r>
      <w:r>
        <w:rPr>
          <w:spacing w:val="-4"/>
          <w:sz w:val="22"/>
        </w:rPr>
        <w:t> </w:t>
      </w:r>
      <w:r>
        <w:rPr>
          <w:sz w:val="22"/>
        </w:rPr>
        <w:t>à</w:t>
      </w:r>
      <w:r>
        <w:rPr>
          <w:spacing w:val="-4"/>
          <w:sz w:val="22"/>
        </w:rPr>
        <w:t> </w:t>
      </w:r>
      <w:r>
        <w:rPr>
          <w:sz w:val="22"/>
        </w:rPr>
        <w:t>vos</w:t>
      </w:r>
      <w:r>
        <w:rPr>
          <w:spacing w:val="-4"/>
          <w:sz w:val="22"/>
        </w:rPr>
        <w:t> </w:t>
      </w:r>
      <w:r>
        <w:rPr>
          <w:sz w:val="22"/>
        </w:rPr>
        <w:t>questions</w:t>
      </w:r>
      <w:r>
        <w:rPr>
          <w:spacing w:val="-4"/>
          <w:sz w:val="22"/>
        </w:rPr>
        <w:t> </w:t>
      </w:r>
      <w:r>
        <w:rPr>
          <w:sz w:val="22"/>
        </w:rPr>
        <w:t>sur</w:t>
      </w:r>
      <w:r>
        <w:rPr>
          <w:spacing w:val="-4"/>
          <w:sz w:val="22"/>
        </w:rPr>
        <w:t> </w:t>
      </w:r>
      <w:r>
        <w:rPr>
          <w:sz w:val="22"/>
        </w:rPr>
        <w:t>l’Union</w:t>
      </w:r>
      <w:r>
        <w:rPr>
          <w:spacing w:val="-4"/>
          <w:sz w:val="22"/>
        </w:rPr>
        <w:t> </w:t>
      </w:r>
      <w:r>
        <w:rPr>
          <w:sz w:val="22"/>
        </w:rPr>
        <w:t>européenne.</w:t>
      </w:r>
      <w:r>
        <w:rPr>
          <w:spacing w:val="-4"/>
          <w:sz w:val="22"/>
        </w:rPr>
        <w:t> </w:t>
      </w:r>
      <w:r>
        <w:rPr>
          <w:sz w:val="22"/>
        </w:rPr>
        <w:t>Vous</w:t>
      </w:r>
      <w:r>
        <w:rPr>
          <w:spacing w:val="-4"/>
          <w:sz w:val="22"/>
        </w:rPr>
        <w:t> </w:t>
      </w:r>
      <w:r>
        <w:rPr>
          <w:sz w:val="22"/>
        </w:rPr>
        <w:t>pouvez prendre contact avec ce service: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113" w:after="0"/>
        <w:ind w:left="1163" w:right="0" w:hanging="400"/>
        <w:jc w:val="left"/>
        <w:rPr>
          <w:sz w:val="22"/>
        </w:rPr>
      </w:pPr>
      <w:r>
        <w:rPr>
          <w:sz w:val="22"/>
        </w:rPr>
        <w:t>par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téléphone:</w:t>
      </w:r>
    </w:p>
    <w:p>
      <w:pPr>
        <w:pStyle w:val="ListParagraph"/>
        <w:numPr>
          <w:ilvl w:val="1"/>
          <w:numId w:val="3"/>
        </w:numPr>
        <w:tabs>
          <w:tab w:pos="1883" w:val="left" w:leader="none"/>
        </w:tabs>
        <w:spacing w:line="288" w:lineRule="auto" w:before="52" w:after="0"/>
        <w:ind w:left="1883" w:right="1122" w:hanging="400"/>
        <w:jc w:val="left"/>
        <w:rPr>
          <w:sz w:val="22"/>
        </w:rPr>
      </w:pPr>
      <w:r>
        <w:rPr>
          <w:sz w:val="22"/>
        </w:rPr>
        <w:t>via</w:t>
      </w:r>
      <w:r>
        <w:rPr>
          <w:spacing w:val="-5"/>
          <w:sz w:val="22"/>
        </w:rPr>
        <w:t> </w:t>
      </w:r>
      <w:r>
        <w:rPr>
          <w:sz w:val="22"/>
        </w:rPr>
        <w:t>un</w:t>
      </w:r>
      <w:r>
        <w:rPr>
          <w:spacing w:val="-5"/>
          <w:sz w:val="22"/>
        </w:rPr>
        <w:t> </w:t>
      </w:r>
      <w:r>
        <w:rPr>
          <w:sz w:val="22"/>
        </w:rPr>
        <w:t>numéro</w:t>
      </w:r>
      <w:r>
        <w:rPr>
          <w:spacing w:val="-5"/>
          <w:sz w:val="22"/>
        </w:rPr>
        <w:t> </w:t>
      </w:r>
      <w:r>
        <w:rPr>
          <w:sz w:val="22"/>
        </w:rPr>
        <w:t>gratuit: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(certains</w:t>
      </w:r>
      <w:r>
        <w:rPr>
          <w:spacing w:val="-5"/>
          <w:sz w:val="22"/>
        </w:rPr>
        <w:t> </w:t>
      </w:r>
      <w:r>
        <w:rPr>
          <w:sz w:val="22"/>
        </w:rPr>
        <w:t>opérateurs</w:t>
      </w:r>
      <w:r>
        <w:rPr>
          <w:spacing w:val="-5"/>
          <w:sz w:val="22"/>
        </w:rPr>
        <w:t> </w:t>
      </w:r>
      <w:r>
        <w:rPr>
          <w:sz w:val="22"/>
        </w:rPr>
        <w:t>facturent cependant ces appels),</w:t>
      </w:r>
    </w:p>
    <w:p>
      <w:pPr>
        <w:pStyle w:val="ListParagraph"/>
        <w:numPr>
          <w:ilvl w:val="1"/>
          <w:numId w:val="3"/>
        </w:numPr>
        <w:tabs>
          <w:tab w:pos="1883" w:val="left" w:leader="none"/>
        </w:tabs>
        <w:spacing w:line="240" w:lineRule="auto" w:before="4" w:after="0"/>
        <w:ind w:left="1883" w:right="0" w:hanging="400"/>
        <w:jc w:val="left"/>
        <w:rPr>
          <w:sz w:val="22"/>
        </w:rPr>
      </w:pPr>
      <w:r>
        <w:rPr>
          <w:sz w:val="22"/>
        </w:rPr>
        <w:t>au</w:t>
      </w:r>
      <w:r>
        <w:rPr>
          <w:spacing w:val="-5"/>
          <w:sz w:val="22"/>
        </w:rPr>
        <w:t> </w:t>
      </w:r>
      <w:r>
        <w:rPr>
          <w:sz w:val="22"/>
        </w:rPr>
        <w:t>numéro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standard</w:t>
      </w:r>
      <w:r>
        <w:rPr>
          <w:spacing w:val="-5"/>
          <w:sz w:val="22"/>
        </w:rPr>
        <w:t> </w:t>
      </w:r>
      <w:r>
        <w:rPr>
          <w:sz w:val="22"/>
        </w:rPr>
        <w:t>suivant: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en</w:t>
      </w:r>
      <w:r>
        <w:rPr>
          <w:spacing w:val="-7"/>
          <w:sz w:val="22"/>
        </w:rPr>
        <w:t> </w:t>
      </w:r>
      <w:r>
        <w:rPr>
          <w:sz w:val="22"/>
        </w:rPr>
        <w:t>utilisant</w:t>
      </w:r>
      <w:r>
        <w:rPr>
          <w:spacing w:val="-6"/>
          <w:sz w:val="22"/>
        </w:rPr>
        <w:t> </w:t>
      </w:r>
      <w:r>
        <w:rPr>
          <w:sz w:val="22"/>
        </w:rPr>
        <w:t>le</w:t>
      </w:r>
      <w:r>
        <w:rPr>
          <w:spacing w:val="-6"/>
          <w:sz w:val="22"/>
        </w:rPr>
        <w:t> </w:t>
      </w:r>
      <w:r>
        <w:rPr>
          <w:sz w:val="22"/>
        </w:rPr>
        <w:t>formulaire</w:t>
      </w:r>
      <w:r>
        <w:rPr>
          <w:spacing w:val="-6"/>
          <w:sz w:val="22"/>
        </w:rPr>
        <w:t> </w:t>
      </w:r>
      <w:r>
        <w:rPr>
          <w:sz w:val="22"/>
        </w:rPr>
        <w:t>suivant:</w:t>
      </w:r>
      <w:r>
        <w:rPr>
          <w:spacing w:val="-4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us_fr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Comment</w:t>
      </w:r>
      <w:r>
        <w:rPr>
          <w:spacing w:val="-6"/>
        </w:rPr>
        <w:t> </w:t>
      </w:r>
      <w:r>
        <w:rPr/>
        <w:t>trouver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informations</w:t>
      </w:r>
      <w:r>
        <w:rPr>
          <w:spacing w:val="-5"/>
        </w:rPr>
        <w:t> </w:t>
      </w:r>
      <w:r>
        <w:rPr/>
        <w:t>sur</w:t>
      </w:r>
      <w:r>
        <w:rPr>
          <w:spacing w:val="-6"/>
        </w:rPr>
        <w:t> </w:t>
      </w:r>
      <w:r>
        <w:rPr/>
        <w:t>l’Union</w:t>
      </w:r>
      <w:r>
        <w:rPr>
          <w:spacing w:val="-5"/>
        </w:rPr>
        <w:t> </w:t>
      </w:r>
      <w:r>
        <w:rPr>
          <w:spacing w:val="-2"/>
        </w:rPr>
        <w:t>européenne?</w:t>
      </w:r>
    </w:p>
    <w:p>
      <w:pPr>
        <w:pStyle w:val="Heading2"/>
        <w:spacing w:before="154"/>
      </w:pPr>
      <w:r>
        <w:rPr/>
        <w:t>En</w:t>
      </w:r>
      <w:r>
        <w:rPr>
          <w:spacing w:val="-2"/>
        </w:rPr>
        <w:t> ligne</w:t>
      </w:r>
    </w:p>
    <w:p>
      <w:pPr>
        <w:spacing w:line="290" w:lineRule="auto" w:before="167"/>
        <w:ind w:left="443" w:right="492" w:firstLine="0"/>
        <w:jc w:val="left"/>
        <w:rPr>
          <w:sz w:val="22"/>
        </w:rPr>
      </w:pPr>
      <w:r>
        <w:rPr>
          <w:sz w:val="22"/>
        </w:rPr>
        <w:t>Des</w:t>
      </w:r>
      <w:r>
        <w:rPr>
          <w:spacing w:val="-5"/>
          <w:sz w:val="22"/>
        </w:rPr>
        <w:t> </w:t>
      </w:r>
      <w:r>
        <w:rPr>
          <w:sz w:val="22"/>
        </w:rPr>
        <w:t>informations</w:t>
      </w:r>
      <w:r>
        <w:rPr>
          <w:spacing w:val="-5"/>
          <w:sz w:val="22"/>
        </w:rPr>
        <w:t> </w:t>
      </w:r>
      <w:r>
        <w:rPr>
          <w:sz w:val="22"/>
        </w:rPr>
        <w:t>sur</w:t>
      </w:r>
      <w:r>
        <w:rPr>
          <w:spacing w:val="-5"/>
          <w:sz w:val="22"/>
        </w:rPr>
        <w:t> </w:t>
      </w:r>
      <w:r>
        <w:rPr>
          <w:sz w:val="22"/>
        </w:rPr>
        <w:t>l’Union</w:t>
      </w:r>
      <w:r>
        <w:rPr>
          <w:spacing w:val="-5"/>
          <w:sz w:val="22"/>
        </w:rPr>
        <w:t> </w:t>
      </w:r>
      <w:r>
        <w:rPr>
          <w:sz w:val="22"/>
        </w:rPr>
        <w:t>européenne</w:t>
      </w:r>
      <w:r>
        <w:rPr>
          <w:spacing w:val="-5"/>
          <w:sz w:val="22"/>
        </w:rPr>
        <w:t> </w:t>
      </w:r>
      <w:r>
        <w:rPr>
          <w:sz w:val="22"/>
        </w:rPr>
        <w:t>sont</w:t>
      </w:r>
      <w:r>
        <w:rPr>
          <w:spacing w:val="-5"/>
          <w:sz w:val="22"/>
        </w:rPr>
        <w:t> </w:t>
      </w:r>
      <w:r>
        <w:rPr>
          <w:sz w:val="22"/>
        </w:rPr>
        <w:t>disponibles,</w:t>
      </w:r>
      <w:r>
        <w:rPr>
          <w:spacing w:val="-5"/>
          <w:sz w:val="22"/>
        </w:rPr>
        <w:t> </w:t>
      </w:r>
      <w:r>
        <w:rPr>
          <w:sz w:val="22"/>
        </w:rPr>
        <w:t>dans</w:t>
      </w:r>
      <w:r>
        <w:rPr>
          <w:spacing w:val="-5"/>
          <w:sz w:val="22"/>
        </w:rPr>
        <w:t> </w:t>
      </w:r>
      <w:r>
        <w:rPr>
          <w:sz w:val="22"/>
        </w:rPr>
        <w:t>toutes</w:t>
      </w:r>
      <w:r>
        <w:rPr>
          <w:spacing w:val="-5"/>
          <w:sz w:val="22"/>
        </w:rPr>
        <w:t> </w:t>
      </w:r>
      <w:r>
        <w:rPr>
          <w:sz w:val="22"/>
        </w:rPr>
        <w:t>les</w:t>
      </w:r>
      <w:r>
        <w:rPr>
          <w:spacing w:val="-5"/>
          <w:sz w:val="22"/>
        </w:rPr>
        <w:t> </w:t>
      </w:r>
      <w:r>
        <w:rPr>
          <w:sz w:val="22"/>
        </w:rPr>
        <w:t>langues</w:t>
      </w:r>
      <w:r>
        <w:rPr>
          <w:spacing w:val="-5"/>
          <w:sz w:val="22"/>
        </w:rPr>
        <w:t> </w:t>
      </w:r>
      <w:r>
        <w:rPr>
          <w:sz w:val="22"/>
        </w:rPr>
        <w:t>officielles de l’UE, sur le site internet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Publications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l’Union</w:t>
      </w:r>
      <w:r>
        <w:rPr>
          <w:spacing w:val="-7"/>
        </w:rPr>
        <w:t> </w:t>
      </w:r>
      <w:r>
        <w:rPr>
          <w:spacing w:val="-2"/>
        </w:rPr>
        <w:t>européenne</w:t>
      </w:r>
    </w:p>
    <w:p>
      <w:pPr>
        <w:spacing w:line="290" w:lineRule="auto" w:before="166"/>
        <w:ind w:left="443" w:right="629" w:firstLine="0"/>
        <w:jc w:val="left"/>
        <w:rPr>
          <w:sz w:val="22"/>
        </w:rPr>
      </w:pPr>
      <w:r>
        <w:rPr>
          <w:sz w:val="22"/>
        </w:rPr>
        <w:t>Vous pouvez consulter ou commander ces publications à l’adresse </w:t>
      </w:r>
      <w:hyperlink r:id="rId13">
        <w:r>
          <w:rPr>
            <w:color w:val="337AB7"/>
            <w:sz w:val="22"/>
            <w:u w:val="single" w:color="337AB7"/>
          </w:rPr>
          <w:t>op.europa.eu/</w:t>
        </w:r>
      </w:hyperlink>
      <w:r>
        <w:rPr>
          <w:color w:val="337AB7"/>
          <w:sz w:val="22"/>
          <w:u w:val="none"/>
        </w:rPr>
        <w:t> </w:t>
      </w:r>
      <w:hyperlink r:id="rId13">
        <w:r>
          <w:rPr>
            <w:color w:val="337AB7"/>
            <w:sz w:val="22"/>
            <w:u w:val="single" w:color="337AB7"/>
          </w:rPr>
          <w:t>fr/publications</w:t>
        </w:r>
      </w:hyperlink>
      <w:r>
        <w:rPr>
          <w:sz w:val="22"/>
          <w:u w:val="none"/>
        </w:rPr>
        <w:t>. Vous pouvez obtenir plusieurs exemplaires de publications gratuites en contactant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ou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votre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centre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documentation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local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0">
        <w:r>
          <w:rPr>
            <w:color w:val="337AB7"/>
            <w:sz w:val="22"/>
            <w:u w:val="single" w:color="337AB7"/>
          </w:rPr>
          <w:t>european-union.europa.eu/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contact-eu/meet-us_fr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Droit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l’Union</w:t>
      </w:r>
      <w:r>
        <w:rPr>
          <w:spacing w:val="-5"/>
        </w:rPr>
        <w:t> </w:t>
      </w:r>
      <w:r>
        <w:rPr/>
        <w:t>européenne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documents</w:t>
      </w:r>
      <w:r>
        <w:rPr>
          <w:spacing w:val="-5"/>
        </w:rPr>
        <w:t> </w:t>
      </w:r>
      <w:r>
        <w:rPr>
          <w:spacing w:val="-2"/>
        </w:rPr>
        <w:t>connexes</w:t>
      </w:r>
    </w:p>
    <w:p>
      <w:pPr>
        <w:spacing w:line="290" w:lineRule="auto" w:before="167"/>
        <w:ind w:left="443" w:right="817" w:firstLine="0"/>
        <w:jc w:val="left"/>
        <w:rPr>
          <w:sz w:val="22"/>
        </w:rPr>
      </w:pPr>
      <w:r>
        <w:rPr>
          <w:sz w:val="22"/>
        </w:rPr>
        <w:t>Pour accéder aux informations juridiques de l’Union, y compris à l’ensemble du droit de l’UE</w:t>
      </w:r>
      <w:r>
        <w:rPr>
          <w:spacing w:val="-5"/>
          <w:sz w:val="22"/>
        </w:rPr>
        <w:t> </w:t>
      </w:r>
      <w:r>
        <w:rPr>
          <w:sz w:val="22"/>
        </w:rPr>
        <w:t>depuis</w:t>
      </w:r>
      <w:r>
        <w:rPr>
          <w:spacing w:val="-5"/>
          <w:sz w:val="22"/>
        </w:rPr>
        <w:t> </w:t>
      </w:r>
      <w:r>
        <w:rPr>
          <w:sz w:val="22"/>
        </w:rPr>
        <w:t>1951</w:t>
      </w:r>
      <w:r>
        <w:rPr>
          <w:spacing w:val="-5"/>
          <w:sz w:val="22"/>
        </w:rPr>
        <w:t> </w:t>
      </w:r>
      <w:r>
        <w:rPr>
          <w:sz w:val="22"/>
        </w:rPr>
        <w:t>dans</w:t>
      </w:r>
      <w:r>
        <w:rPr>
          <w:spacing w:val="-5"/>
          <w:sz w:val="22"/>
        </w:rPr>
        <w:t> </w:t>
      </w:r>
      <w:r>
        <w:rPr>
          <w:sz w:val="22"/>
        </w:rPr>
        <w:t>toutes</w:t>
      </w:r>
      <w:r>
        <w:rPr>
          <w:spacing w:val="-5"/>
          <w:sz w:val="22"/>
        </w:rPr>
        <w:t> </w:t>
      </w:r>
      <w:r>
        <w:rPr>
          <w:sz w:val="22"/>
        </w:rPr>
        <w:t>les</w:t>
      </w:r>
      <w:r>
        <w:rPr>
          <w:spacing w:val="-5"/>
          <w:sz w:val="22"/>
        </w:rPr>
        <w:t> </w:t>
      </w:r>
      <w:r>
        <w:rPr>
          <w:sz w:val="22"/>
        </w:rPr>
        <w:t>versions</w:t>
      </w:r>
      <w:r>
        <w:rPr>
          <w:spacing w:val="-5"/>
          <w:sz w:val="22"/>
        </w:rPr>
        <w:t> </w:t>
      </w:r>
      <w:r>
        <w:rPr>
          <w:sz w:val="22"/>
        </w:rPr>
        <w:t>linguistiques</w:t>
      </w:r>
      <w:r>
        <w:rPr>
          <w:spacing w:val="-5"/>
          <w:sz w:val="22"/>
        </w:rPr>
        <w:t> </w:t>
      </w:r>
      <w:r>
        <w:rPr>
          <w:sz w:val="22"/>
        </w:rPr>
        <w:t>officielles,</w:t>
      </w:r>
      <w:r>
        <w:rPr>
          <w:spacing w:val="-5"/>
          <w:sz w:val="22"/>
        </w:rPr>
        <w:t> </w:t>
      </w:r>
      <w:r>
        <w:rPr>
          <w:sz w:val="22"/>
        </w:rPr>
        <w:t>consultez</w:t>
      </w:r>
      <w:r>
        <w:rPr>
          <w:spacing w:val="-5"/>
          <w:sz w:val="22"/>
        </w:rPr>
        <w:t> </w:t>
      </w:r>
      <w:r>
        <w:rPr>
          <w:sz w:val="22"/>
        </w:rPr>
        <w:t>EUR-Lex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4">
        <w:r>
          <w:rPr>
            <w:color w:val="337AB7"/>
            <w:sz w:val="22"/>
            <w:u w:val="single" w:color="337AB7"/>
          </w:rPr>
          <w:t>eur-</w:t>
        </w:r>
      </w:hyperlink>
      <w:r>
        <w:rPr>
          <w:color w:val="337AB7"/>
          <w:sz w:val="22"/>
          <w:u w:val="none"/>
        </w:rPr>
        <w:t> </w:t>
      </w:r>
      <w:hyperlink r:id="rId14">
        <w:r>
          <w:rPr>
            <w:color w:val="337AB7"/>
            <w:spacing w:val="-2"/>
            <w:sz w:val="22"/>
            <w:u w:val="single" w:color="337AB7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Données</w:t>
      </w:r>
      <w:r>
        <w:rPr>
          <w:spacing w:val="-6"/>
        </w:rPr>
        <w:t> </w:t>
      </w:r>
      <w:r>
        <w:rPr/>
        <w:t>ouvertes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l’Union</w:t>
      </w:r>
      <w:r>
        <w:rPr>
          <w:spacing w:val="-6"/>
        </w:rPr>
        <w:t> </w:t>
      </w:r>
      <w:r>
        <w:rPr>
          <w:spacing w:val="-2"/>
        </w:rPr>
        <w:t>européenne</w:t>
      </w:r>
    </w:p>
    <w:p>
      <w:pPr>
        <w:spacing w:line="290" w:lineRule="auto" w:before="166"/>
        <w:ind w:left="443" w:right="492" w:firstLine="0"/>
        <w:jc w:val="left"/>
        <w:rPr>
          <w:sz w:val="22"/>
        </w:rPr>
      </w:pPr>
      <w:r>
        <w:rPr>
          <w:sz w:val="22"/>
        </w:rPr>
        <w:t>Le portail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donne accès à des jeux de données ouvertes provenant des institutions,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agences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l’UE.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données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peuvent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être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téléchargées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réutilisées gratuitement, à des fins commerciales ou non. Le portail donne également accès à une multitude de jeux de données des pays européens.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>
      <w:start w:val="0"/>
      <w:numFmt w:val="bullet"/>
      <w:lvlText w:val="—"/>
      <w:lvlJc w:val="left"/>
      <w:pPr>
        <w:ind w:left="188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796" w:hanging="40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713" w:hanging="40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629" w:hanging="40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546" w:hanging="40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462" w:hanging="40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379" w:hanging="40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295" w:hanging="400"/>
      </w:pPr>
      <w:rPr>
        <w:rFonts w:hint="default"/>
        <w:lang w:val="fr-F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fr-F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fr-F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fr-FR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fr-F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400"/>
    </w:pPr>
    <w:rPr>
      <w:rFonts w:ascii="Arial" w:hAnsi="Arial" w:eastAsia="Arial" w:cs="Arial"/>
      <w:lang w:val="fr-F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fr" TargetMode="External"/><Relationship Id="rId11" Type="http://schemas.openxmlformats.org/officeDocument/2006/relationships/hyperlink" Target="https://european-union.europa.eu/contact-eu/write-us_fr" TargetMode="External"/><Relationship Id="rId12" Type="http://schemas.openxmlformats.org/officeDocument/2006/relationships/hyperlink" Target="https://european-union.europa.eu/index_fr" TargetMode="External"/><Relationship Id="rId13" Type="http://schemas.openxmlformats.org/officeDocument/2006/relationships/hyperlink" Target="https://op.europa.eu/fr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fr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FR</dc:title>
  <dcterms:created xsi:type="dcterms:W3CDTF">2025-01-14T14:06:39Z</dcterms:created>
  <dcterms:modified xsi:type="dcterms:W3CDTF">2025-01-14T14:06:39Z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2025-01-14T00:00:00Z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2025-01-14T00:00:00Z</vt:filetime>
  </property>
</Properties>
</file>