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CS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CS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40" w:lineRule="atLeast"/>
        <w:ind w:left="153" w:right="4213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[První/Druhé/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2585"/>
      </w:pPr>
      <w:r>
        <w:rPr/>
        <w:t>Tento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nemůže</w:t>
      </w:r>
      <w:r>
        <w:rPr>
          <w:spacing w:val="-7"/>
        </w:rPr>
        <w:t> </w:t>
      </w:r>
      <w:r>
        <w:rPr/>
        <w:t>být</w:t>
      </w:r>
      <w:r>
        <w:rPr>
          <w:spacing w:val="-7"/>
        </w:rPr>
        <w:t> </w:t>
      </w:r>
      <w:r>
        <w:rPr/>
        <w:t>považován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oficiální</w:t>
      </w:r>
      <w:r>
        <w:rPr>
          <w:spacing w:val="-7"/>
        </w:rPr>
        <w:t> </w:t>
      </w:r>
      <w:r>
        <w:rPr/>
        <w:t>stanovisko</w:t>
      </w:r>
      <w:r>
        <w:rPr>
          <w:spacing w:val="-7"/>
        </w:rPr>
        <w:t> </w:t>
      </w:r>
      <w:r>
        <w:rPr/>
        <w:t>Evropské</w:t>
      </w:r>
      <w:r>
        <w:rPr>
          <w:spacing w:val="-7"/>
        </w:rPr>
        <w:t> </w:t>
      </w:r>
      <w:r>
        <w:rPr/>
        <w:t>komise. Lucemburk: Úřad pro publikace Evropské unie, [rok]</w:t>
      </w:r>
    </w:p>
    <w:p>
      <w:pPr>
        <w:pStyle w:val="BodyText"/>
        <w:spacing w:line="348" w:lineRule="auto"/>
        <w:ind w:left="153" w:right="7681"/>
      </w:pPr>
      <w:r>
        <w:rPr/>
        <w:t>© [Výkonná agentura], [rok]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153" w:right="258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byl</w:t>
      </w:r>
      <w:r>
        <w:rPr>
          <w:spacing w:val="-4"/>
        </w:rPr>
        <w:t> </w:t>
      </w:r>
      <w:r>
        <w:rPr/>
        <w:t>vytvořen</w:t>
      </w:r>
      <w:r>
        <w:rPr>
          <w:spacing w:val="-4"/>
        </w:rPr>
        <w:t> </w:t>
      </w:r>
      <w:r>
        <w:rPr/>
        <w:t>pomocí</w:t>
      </w:r>
      <w:r>
        <w:rPr>
          <w:spacing w:val="-4"/>
        </w:rPr>
        <w:t> </w:t>
      </w:r>
      <w:r>
        <w:rPr/>
        <w:t>[název</w:t>
      </w:r>
      <w:r>
        <w:rPr>
          <w:spacing w:val="-4"/>
        </w:rPr>
        <w:t> </w:t>
      </w:r>
      <w:r>
        <w:rPr/>
        <w:t>nástroje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385"/>
      </w:pPr>
      <w:r>
        <w:rPr/>
        <w:t>Výkonné</w:t>
      </w:r>
      <w:r>
        <w:rPr>
          <w:spacing w:val="-5"/>
        </w:rPr>
        <w:t> </w:t>
      </w:r>
      <w:r>
        <w:rPr/>
        <w:t>agentury</w:t>
      </w:r>
      <w:r>
        <w:rPr>
          <w:spacing w:val="-5"/>
        </w:rPr>
        <w:t> </w:t>
      </w:r>
      <w:r>
        <w:rPr/>
        <w:t>uplatňují</w:t>
      </w:r>
      <w:r>
        <w:rPr>
          <w:spacing w:val="-5"/>
        </w:rPr>
        <w:t> </w:t>
      </w:r>
      <w:r>
        <w:rPr/>
        <w:t>politiku</w:t>
      </w:r>
      <w:r>
        <w:rPr>
          <w:spacing w:val="-5"/>
        </w:rPr>
        <w:t> </w:t>
      </w:r>
      <w:r>
        <w:rPr/>
        <w:t>Komise</w:t>
      </w:r>
      <w:r>
        <w:rPr>
          <w:spacing w:val="-5"/>
        </w:rPr>
        <w:t> </w:t>
      </w:r>
      <w:r>
        <w:rPr/>
        <w:t>týkající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dalšího</w:t>
      </w:r>
      <w:r>
        <w:rPr>
          <w:spacing w:val="-5"/>
        </w:rPr>
        <w:t> </w:t>
      </w:r>
      <w:r>
        <w:rPr/>
        <w:t>použití,</w:t>
      </w:r>
      <w:r>
        <w:rPr>
          <w:spacing w:val="-5"/>
        </w:rPr>
        <w:t> </w:t>
      </w:r>
      <w:r>
        <w:rPr/>
        <w:t>která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řídí</w:t>
      </w:r>
      <w:r>
        <w:rPr>
          <w:spacing w:val="-5"/>
        </w:rPr>
        <w:t> </w:t>
      </w:r>
      <w:r>
        <w:rPr/>
        <w:t>rozhodnutím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ze dne 12. prosince 2011 o opakovaném použití dokumentů Komise (Úř. věst. L 330, 14.12.2011, s. 39,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 w:right="53"/>
      </w:pPr>
      <w:r>
        <w:rPr/>
        <w:t>Není-li uvedeno jinak, je opakované použití tohoto dokumentu povoleno v rámci licence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použití se povoluje za předpokladu, že je řádně uveden zdroj a jakékoli změny.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385"/>
      </w:pPr>
      <w:r>
        <w:rPr/>
        <w:t>Kveškerému použití nebo reprodukci prvků, které nejsou ve vlastnictví Evropské unie nebo [výkonná agentura], 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</w:t>
      </w:r>
      <w:r>
        <w:rPr>
          <w:spacing w:val="-4"/>
        </w:rPr>
        <w:t> </w:t>
      </w:r>
      <w:r>
        <w:rPr/>
        <w:t>svolení</w:t>
      </w:r>
      <w:r>
        <w:rPr>
          <w:spacing w:val="-4"/>
        </w:rPr>
        <w:t> </w:t>
      </w:r>
      <w:r>
        <w:rPr/>
        <w:t>přímo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příslušných</w:t>
      </w:r>
      <w:r>
        <w:rPr>
          <w:spacing w:val="-4"/>
        </w:rPr>
        <w:t> </w:t>
      </w:r>
      <w:r>
        <w:rPr/>
        <w:t>nositelů</w:t>
      </w:r>
      <w:r>
        <w:rPr>
          <w:spacing w:val="-4"/>
        </w:rPr>
        <w:t> </w:t>
      </w:r>
      <w:r>
        <w:rPr/>
        <w:t>práv.</w:t>
      </w:r>
      <w:r>
        <w:rPr>
          <w:spacing w:val="-4"/>
        </w:rPr>
        <w:t> </w:t>
      </w:r>
      <w:r>
        <w:rPr/>
        <w:t>Evropská</w:t>
      </w:r>
      <w:r>
        <w:rPr>
          <w:spacing w:val="-4"/>
        </w:rPr>
        <w:t> </w:t>
      </w:r>
      <w:r>
        <w:rPr/>
        <w:t>unie</w:t>
      </w:r>
      <w:r>
        <w:rPr>
          <w:spacing w:val="-4"/>
        </w:rPr>
        <w:t> </w:t>
      </w:r>
      <w:r>
        <w:rPr/>
        <w:t>ani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</w:t>
      </w:r>
      <w:r>
        <w:rPr>
          <w:spacing w:val="-4"/>
        </w:rPr>
        <w:t> </w:t>
      </w:r>
      <w:r>
        <w:rPr/>
        <w:t>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[dotyčný</w:t>
      </w:r>
      <w:r>
        <w:rPr>
          <w:spacing w:val="-4"/>
          <w:sz w:val="20"/>
        </w:rPr>
        <w:t> </w:t>
      </w:r>
      <w:r>
        <w:rPr>
          <w:sz w:val="20"/>
        </w:rPr>
        <w:t>prvek],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rámci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385"/>
      </w:pPr>
      <w:r>
        <w:rPr/>
        <w:t>Kveškerému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agentura], může být nutné získat svolení přímo od příslušných nositelů práv.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53" w:firstLine="0"/>
        <w:jc w:val="left"/>
        <w:rPr>
          <w:sz w:val="18"/>
        </w:rPr>
      </w:pPr>
      <w:r>
        <w:rPr>
          <w:sz w:val="18"/>
        </w:rPr>
        <w:t>Opakované použití povoleno pod podmínkou, že je uveden zdroj a původní význam nebo sdělení tohoto dokumentu nejsou zkresleny. Evropská komise neodpovídá za jakékoli následky plynoucí z opakovaného použití této publikace. Politiku</w:t>
      </w:r>
      <w:r>
        <w:rPr>
          <w:spacing w:val="-5"/>
          <w:sz w:val="18"/>
        </w:rPr>
        <w:t> </w:t>
      </w:r>
      <w:r>
        <w:rPr>
          <w:sz w:val="18"/>
        </w:rPr>
        <w:t>opakovaného</w:t>
      </w:r>
      <w:r>
        <w:rPr>
          <w:spacing w:val="-5"/>
          <w:sz w:val="18"/>
        </w:rPr>
        <w:t> </w:t>
      </w:r>
      <w:r>
        <w:rPr>
          <w:sz w:val="18"/>
        </w:rPr>
        <w:t>použití</w:t>
      </w:r>
      <w:r>
        <w:rPr>
          <w:spacing w:val="-5"/>
          <w:sz w:val="18"/>
        </w:rPr>
        <w:t> </w:t>
      </w:r>
      <w:r>
        <w:rPr>
          <w:sz w:val="18"/>
        </w:rPr>
        <w:t>dokumentů</w:t>
      </w:r>
      <w:r>
        <w:rPr>
          <w:spacing w:val="-5"/>
          <w:sz w:val="18"/>
        </w:rPr>
        <w:t> </w:t>
      </w:r>
      <w:r>
        <w:rPr>
          <w:sz w:val="18"/>
        </w:rPr>
        <w:t>Evropské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upravuje</w:t>
      </w:r>
      <w:r>
        <w:rPr>
          <w:spacing w:val="-5"/>
          <w:sz w:val="18"/>
        </w:rPr>
        <w:t> </w:t>
      </w:r>
      <w:r>
        <w:rPr>
          <w:sz w:val="18"/>
        </w:rPr>
        <w:t>rozhodnutí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ze</w:t>
      </w:r>
      <w:r>
        <w:rPr>
          <w:spacing w:val="-5"/>
          <w:sz w:val="18"/>
        </w:rPr>
        <w:t> </w:t>
      </w:r>
      <w:r>
        <w:rPr>
          <w:sz w:val="18"/>
        </w:rPr>
        <w:t>dne</w:t>
      </w:r>
      <w:r>
        <w:rPr>
          <w:spacing w:val="-5"/>
          <w:sz w:val="18"/>
        </w:rPr>
        <w:t> </w:t>
      </w:r>
      <w:r>
        <w:rPr>
          <w:sz w:val="18"/>
        </w:rPr>
        <w:t>12.</w:t>
      </w:r>
      <w:r>
        <w:rPr>
          <w:spacing w:val="-5"/>
          <w:sz w:val="18"/>
        </w:rPr>
        <w:t> </w:t>
      </w:r>
      <w:r>
        <w:rPr>
          <w:sz w:val="18"/>
        </w:rPr>
        <w:t>prosince 2011 o opakovaném použití dokumentů Komise (Úř. věst.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3"/>
        </w:rPr>
        <w:t> </w:t>
      </w:r>
      <w:r>
        <w:rPr/>
        <w:t>DPH)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Lucembursku: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6"/>
        <w:ind w:left="437" w:right="385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76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4"/>
          <w:sz w:val="22"/>
        </w:rPr>
        <w:t> </w:t>
      </w:r>
      <w:r>
        <w:rPr>
          <w:sz w:val="22"/>
        </w:rPr>
        <w:t>bezplatné</w:t>
      </w:r>
      <w:r>
        <w:rPr>
          <w:spacing w:val="-4"/>
          <w:sz w:val="22"/>
        </w:rPr>
        <w:t> </w:t>
      </w:r>
      <w:r>
        <w:rPr>
          <w:sz w:val="22"/>
        </w:rPr>
        <w:t>telefonní</w:t>
      </w:r>
      <w:r>
        <w:rPr>
          <w:spacing w:val="-4"/>
          <w:sz w:val="22"/>
        </w:rPr>
        <w:t> </w:t>
      </w:r>
      <w:r>
        <w:rPr>
          <w:sz w:val="22"/>
        </w:rPr>
        <w:t>linky: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(někteří</w:t>
      </w:r>
      <w:r>
        <w:rPr>
          <w:spacing w:val="-4"/>
          <w:sz w:val="22"/>
        </w:rPr>
        <w:t> </w:t>
      </w:r>
      <w:r>
        <w:rPr>
          <w:sz w:val="22"/>
        </w:rPr>
        <w:t>operátoři</w:t>
      </w:r>
      <w:r>
        <w:rPr>
          <w:spacing w:val="-4"/>
          <w:sz w:val="22"/>
        </w:rPr>
        <w:t> </w:t>
      </w:r>
      <w:r>
        <w:rPr>
          <w:sz w:val="22"/>
        </w:rPr>
        <w:t>mohou</w:t>
      </w:r>
      <w:r>
        <w:rPr>
          <w:spacing w:val="-4"/>
          <w:sz w:val="22"/>
        </w:rPr>
        <w:t> </w:t>
      </w:r>
      <w:r>
        <w:rPr>
          <w:sz w:val="22"/>
        </w:rPr>
        <w:t>tento hovor účtovat),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</w:t>
      </w:r>
      <w:r>
        <w:rPr>
          <w:spacing w:val="-4"/>
          <w:sz w:val="22"/>
        </w:rPr>
        <w:t> </w:t>
      </w:r>
      <w:r>
        <w:rPr>
          <w:sz w:val="22"/>
        </w:rPr>
        <w:t>stránkách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688" w:firstLine="0"/>
        <w:jc w:val="left"/>
        <w:rPr>
          <w:sz w:val="22"/>
        </w:rPr>
      </w:pPr>
      <w:r>
        <w:rPr>
          <w:sz w:val="22"/>
        </w:rPr>
        <w:t>Publikace EU si můžete prohlédnout nebo objednat na adrese </w:t>
      </w:r>
      <w:hyperlink r:id="rId13">
        <w:r>
          <w:rPr>
            <w:color w:val="0000FF"/>
            <w:sz w:val="22"/>
            <w:u w:val="single" w:color="0000FF"/>
          </w:rPr>
          <w:t>op.europa.eu/cs/publications</w:t>
        </w:r>
      </w:hyperlink>
      <w:r>
        <w:rPr>
          <w:sz w:val="22"/>
          <w:u w:val="none"/>
        </w:rPr>
        <w:t>. Chcete-li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obdržet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více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než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výtisk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bezplatných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publikací,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obraťte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 nebo na místní dokumentační střediska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385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94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 rovněž poskytuje přístup k velkému množství datových souborů z evropských zemí.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cs" TargetMode="External"/><Relationship Id="rId11" Type="http://schemas.openxmlformats.org/officeDocument/2006/relationships/hyperlink" Target="https://european-union.europa.eu/contact-eu/write-us_cs" TargetMode="External"/><Relationship Id="rId12" Type="http://schemas.openxmlformats.org/officeDocument/2006/relationships/hyperlink" Target="https://european-union.europa.eu/index_cs" TargetMode="External"/><Relationship Id="rId13" Type="http://schemas.openxmlformats.org/officeDocument/2006/relationships/hyperlink" Target="https://op.europa.eu/c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c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CS</dc:title>
  <dcterms:created xsi:type="dcterms:W3CDTF">2025-04-28T11:38:29Z</dcterms:created>
  <dcterms:modified xsi:type="dcterms:W3CDTF">2025-04-28T11:38:29Z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