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80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ES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60" w:lineRule="atLeast"/>
        <w:ind w:left="160" w:right="3678"/>
      </w:pPr>
      <w:r>
        <w:rPr/>
        <w:t>Edición</w:t>
      </w:r>
      <w:r>
        <w:rPr>
          <w:spacing w:val="-13"/>
        </w:rPr>
        <w:t> </w:t>
      </w:r>
      <w:r>
        <w:rPr/>
        <w:t>revisada/Edición</w:t>
      </w:r>
      <w:r>
        <w:rPr>
          <w:spacing w:val="-13"/>
        </w:rPr>
        <w:t> </w:t>
      </w:r>
      <w:r>
        <w:rPr/>
        <w:t>corregida/[Primera/Segunda/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3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 w:right="122"/>
      </w:pPr>
      <w:r>
        <w:rPr/>
        <w:t>El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considerarse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posición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[del</w:t>
      </w:r>
      <w:r>
        <w:rPr>
          <w:spacing w:val="-4"/>
        </w:rPr>
        <w:t> </w:t>
      </w:r>
      <w:r>
        <w:rPr/>
        <w:t>Banco</w:t>
      </w:r>
      <w:r>
        <w:rPr>
          <w:spacing w:val="-4"/>
        </w:rPr>
        <w:t> </w:t>
      </w:r>
      <w:r>
        <w:rPr/>
        <w:t>Central</w:t>
      </w:r>
      <w:r>
        <w:rPr>
          <w:spacing w:val="-4"/>
        </w:rPr>
        <w:t> </w:t>
      </w:r>
      <w:r>
        <w:rPr/>
        <w:t>Europeo/del</w:t>
      </w:r>
      <w:r>
        <w:rPr>
          <w:spacing w:val="-4"/>
        </w:rPr>
        <w:t> </w:t>
      </w:r>
      <w:r>
        <w:rPr/>
        <w:t>órgano/de la agencia].</w:t>
      </w:r>
    </w:p>
    <w:p>
      <w:pPr>
        <w:pStyle w:val="BodyText"/>
        <w:spacing w:line="558" w:lineRule="exact" w:before="64"/>
        <w:ind w:left="160" w:right="3678"/>
      </w:pPr>
      <w:r>
        <w:rPr/>
        <w:t>Luxemburgo:</w:t>
      </w:r>
      <w:r>
        <w:rPr>
          <w:spacing w:val="-6"/>
        </w:rPr>
        <w:t> </w:t>
      </w:r>
      <w:r>
        <w:rPr/>
        <w:t>Oficina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6"/>
        </w:rPr>
        <w:t> </w:t>
      </w:r>
      <w:r>
        <w:rPr/>
        <w:t>Europea,</w:t>
      </w:r>
      <w:r>
        <w:rPr>
          <w:spacing w:val="-6"/>
        </w:rPr>
        <w:t> </w:t>
      </w:r>
      <w:r>
        <w:rPr/>
        <w:t>[año]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122"/>
      </w:pPr>
      <w:r>
        <w:rPr/>
        <w:t>©</w:t>
      </w:r>
      <w:r>
        <w:rPr>
          <w:spacing w:val="-5"/>
        </w:rPr>
        <w:t> </w:t>
      </w:r>
      <w:r>
        <w:rPr/>
        <w:t>[Banco</w:t>
      </w:r>
      <w:r>
        <w:rPr>
          <w:spacing w:val="-5"/>
        </w:rPr>
        <w:t> </w:t>
      </w:r>
      <w:r>
        <w:rPr/>
        <w:t>Central</w:t>
      </w:r>
      <w:r>
        <w:rPr>
          <w:spacing w:val="-5"/>
        </w:rPr>
        <w:t> </w:t>
      </w:r>
      <w:r>
        <w:rPr/>
        <w:t>Europeo/órgano/agencia/Comunidad</w:t>
      </w:r>
      <w:r>
        <w:rPr>
          <w:spacing w:val="-5"/>
        </w:rPr>
        <w:t> </w:t>
      </w:r>
      <w:r>
        <w:rPr/>
        <w:t>Europea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Energía</w:t>
      </w:r>
      <w:r>
        <w:rPr>
          <w:spacing w:val="-5"/>
        </w:rPr>
        <w:t> </w:t>
      </w:r>
      <w:r>
        <w:rPr/>
        <w:t>Atómica/etc.],</w:t>
      </w:r>
      <w:r>
        <w:rPr>
          <w:spacing w:val="-5"/>
        </w:rPr>
        <w:t> </w:t>
      </w:r>
      <w:r>
        <w:rPr/>
        <w:t>[año] Reproducción autorizada, con indicación de la fuente bibliográfica.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Para cualquier uso o reproducción de elementos que no sean propiedad [del Banco Central Europeo/del órgano/de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agencia],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necesario</w:t>
      </w:r>
      <w:r>
        <w:rPr>
          <w:spacing w:val="-3"/>
        </w:rPr>
        <w:t> </w:t>
      </w:r>
      <w:r>
        <w:rPr/>
        <w:t>solicitar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autorización</w:t>
      </w:r>
      <w:r>
        <w:rPr>
          <w:spacing w:val="-3"/>
        </w:rPr>
        <w:t> </w:t>
      </w:r>
      <w:r>
        <w:rPr/>
        <w:t>directamente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respectivos</w:t>
      </w:r>
      <w:r>
        <w:rPr>
          <w:spacing w:val="-3"/>
        </w:rPr>
        <w:t> </w:t>
      </w:r>
      <w:r>
        <w:rPr/>
        <w:t>titulares</w:t>
      </w:r>
      <w:r>
        <w:rPr>
          <w:spacing w:val="-3"/>
        </w:rPr>
        <w:t> </w:t>
      </w:r>
      <w:r>
        <w:rPr/>
        <w:t>de derechos. [El Banco Central Europeo/El órgano/la agencia] no posee los derechos de autor de los siguientes </w:t>
      </w:r>
      <w:r>
        <w:rPr>
          <w:spacing w:val="-2"/>
        </w:rPr>
        <w:t>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95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5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159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afectado],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ejemplo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con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enlace a la licencia];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Para cualquier uso o reproducción de elementos que no sean propiedad [del Banco Central Europeo/del órgano/de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agencia],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necesario</w:t>
      </w:r>
      <w:r>
        <w:rPr>
          <w:spacing w:val="-3"/>
        </w:rPr>
        <w:t> </w:t>
      </w:r>
      <w:r>
        <w:rPr/>
        <w:t>solicitar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autorización</w:t>
      </w:r>
      <w:r>
        <w:rPr>
          <w:spacing w:val="-3"/>
        </w:rPr>
        <w:t> </w:t>
      </w:r>
      <w:r>
        <w:rPr/>
        <w:t>directamente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respectivos</w:t>
      </w:r>
      <w:r>
        <w:rPr>
          <w:spacing w:val="-3"/>
        </w:rPr>
        <w:t> </w:t>
      </w:r>
      <w:r>
        <w:rPr/>
        <w:t>titulares</w:t>
      </w:r>
      <w:r>
        <w:rPr>
          <w:spacing w:val="-3"/>
        </w:rPr>
        <w:t> </w:t>
      </w:r>
      <w:r>
        <w:rPr/>
        <w:t>de </w:t>
      </w:r>
      <w:r>
        <w:rPr>
          <w:spacing w:val="-2"/>
        </w:rPr>
        <w:t>derechos.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179151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106453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6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7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7"/>
        <w:ind w:left="443" w:right="271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6"/>
        <w:ind w:left="443" w:right="271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sus</w:t>
      </w:r>
      <w:r>
        <w:rPr>
          <w:spacing w:val="-4"/>
          <w:sz w:val="22"/>
        </w:rPr>
        <w:t> </w:t>
      </w:r>
      <w:r>
        <w:rPr>
          <w:sz w:val="22"/>
        </w:rPr>
        <w:t>preguntas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Unión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Puede acceder a él: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391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 por las llamadas);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7"/>
        <w:ind w:left="443" w:right="433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encontrar</w:t>
      </w:r>
      <w:r>
        <w:rPr>
          <w:spacing w:val="-4"/>
          <w:sz w:val="22"/>
        </w:rPr>
        <w:t> </w:t>
      </w:r>
      <w:r>
        <w:rPr>
          <w:sz w:val="22"/>
        </w:rPr>
        <w:t>información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Unión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lenguas</w:t>
      </w:r>
      <w:r>
        <w:rPr>
          <w:spacing w:val="-4"/>
          <w:sz w:val="22"/>
        </w:rPr>
        <w:t> </w:t>
      </w:r>
      <w:r>
        <w:rPr>
          <w:sz w:val="22"/>
        </w:rPr>
        <w:t>oficiales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la Unión en el sitio web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op.europa.eu/es/publications</w:t>
        </w:r>
      </w:hyperlink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Si</w:t>
      </w:r>
      <w:r>
        <w:rPr>
          <w:spacing w:val="-4"/>
          <w:sz w:val="22"/>
        </w:rPr>
        <w:t> </w:t>
      </w:r>
      <w:r>
        <w:rPr>
          <w:sz w:val="22"/>
        </w:rPr>
        <w:t>desea</w:t>
      </w:r>
      <w:r>
        <w:rPr>
          <w:spacing w:val="-4"/>
          <w:sz w:val="22"/>
        </w:rPr>
        <w:t> </w:t>
      </w:r>
      <w:r>
        <w:rPr>
          <w:sz w:val="22"/>
        </w:rPr>
        <w:t>obtener</w:t>
      </w:r>
      <w:r>
        <w:rPr>
          <w:spacing w:val="-4"/>
          <w:sz w:val="22"/>
        </w:rPr>
        <w:t> </w:t>
      </w:r>
      <w:r>
        <w:rPr>
          <w:sz w:val="22"/>
        </w:rPr>
        <w:t>varios</w:t>
      </w:r>
      <w:r>
        <w:rPr>
          <w:spacing w:val="-4"/>
          <w:sz w:val="22"/>
        </w:rPr>
        <w:t> </w:t>
      </w:r>
      <w:r>
        <w:rPr>
          <w:sz w:val="22"/>
        </w:rPr>
        <w:t>ejemplares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publicaciones</w:t>
      </w:r>
      <w:r>
        <w:rPr>
          <w:spacing w:val="-4"/>
          <w:sz w:val="22"/>
        </w:rPr>
        <w:t> </w:t>
      </w:r>
      <w:r>
        <w:rPr>
          <w:sz w:val="22"/>
        </w:rPr>
        <w:t>gratuitas,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contactar</w:t>
      </w:r>
      <w:r>
        <w:rPr>
          <w:spacing w:val="-4"/>
          <w:sz w:val="22"/>
        </w:rPr>
        <w:t> </w:t>
      </w:r>
      <w:r>
        <w:rPr>
          <w:sz w:val="22"/>
        </w:rPr>
        <w:t>con</w:t>
      </w:r>
      <w:r>
        <w:rPr>
          <w:spacing w:val="-4"/>
          <w:sz w:val="22"/>
        </w:rPr>
        <w:t> </w:t>
      </w:r>
      <w:r>
        <w:rPr>
          <w:sz w:val="22"/>
        </w:rPr>
        <w:t>Europe Direct o con su centro de documentación local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us_es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43" w:right="271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2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7"/>
        <w:ind w:left="443" w:right="271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 órganos y organismos de la Unión Europea, que pueden descargarse y reutilizarse gratuitamente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tanto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para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fines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comerciales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comerciales.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El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también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permite acceder a un gran número de conjuntos de datos procedentes de los países europeos.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048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37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6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15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93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82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71" w:hanging="40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18" w:hanging="3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77" w:hanging="3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336" w:hanging="3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95" w:hanging="3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54" w:hanging="3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13" w:hanging="3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172" w:hanging="3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31" w:hanging="3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s" TargetMode="External"/><Relationship Id="rId9" Type="http://schemas.openxmlformats.org/officeDocument/2006/relationships/hyperlink" Target="https://european-union.europa.eu/contact-eu/write-us_es" TargetMode="External"/><Relationship Id="rId10" Type="http://schemas.openxmlformats.org/officeDocument/2006/relationships/hyperlink" Target="https://european-union.europa.eu/index_es" TargetMode="External"/><Relationship Id="rId11" Type="http://schemas.openxmlformats.org/officeDocument/2006/relationships/hyperlink" Target="https://op.europa.eu/e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s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ES(NB: The Commission’s executive agencies have their own liminary pages.)</dc:title>
  <dcterms:created xsi:type="dcterms:W3CDTF">2025-01-15T09:37:40Z</dcterms:created>
  <dcterms:modified xsi:type="dcterms:W3CDTF">2025-01-15T09:37:40Z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