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7"/>
        <w:ind w:left="160"/>
      </w:pPr>
      <w:bookmarkStart w:name="European Union institutions, bodies and 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4"/>
        </w:rPr>
        <w:t> </w:t>
      </w:r>
      <w:r>
        <w:rPr>
          <w:color w:val="FF0000"/>
        </w:rPr>
        <w:t>institutions,</w:t>
      </w:r>
      <w:r>
        <w:rPr>
          <w:color w:val="FF0000"/>
          <w:spacing w:val="-5"/>
        </w:rPr>
        <w:t> </w:t>
      </w:r>
      <w:r>
        <w:rPr>
          <w:color w:val="FF0000"/>
        </w:rPr>
        <w:t>bodies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5"/>
        </w:rPr>
        <w:t> </w:t>
      </w:r>
      <w:r>
        <w:rPr>
          <w:color w:val="FF0000"/>
        </w:rPr>
        <w:t>services</w:t>
      </w:r>
      <w:r>
        <w:rPr>
          <w:color w:val="FF0000"/>
          <w:spacing w:val="-3"/>
        </w:rPr>
        <w:t> </w:t>
      </w:r>
      <w:r>
        <w:rPr>
          <w:color w:val="FF0000"/>
          <w:u w:val="single" w:color="FF0000"/>
        </w:rPr>
        <w:t>without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spacing w:val="-5"/>
          <w:u w:val="none"/>
        </w:rPr>
        <w:t>HR</w:t>
      </w:r>
    </w:p>
    <w:p>
      <w:pPr>
        <w:pStyle w:val="BodyText"/>
        <w:spacing w:before="97"/>
      </w:pPr>
    </w:p>
    <w:p>
      <w:pPr>
        <w:spacing w:before="1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[tiskara]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[zemlja]</w:t>
      </w:r>
    </w:p>
    <w:p>
      <w:pPr>
        <w:pStyle w:val="BodyText"/>
        <w:spacing w:before="97"/>
        <w:rPr>
          <w:i/>
        </w:rPr>
      </w:pPr>
    </w:p>
    <w:p>
      <w:pPr>
        <w:pStyle w:val="BodyText"/>
        <w:spacing w:before="1"/>
        <w:ind w:left="160"/>
      </w:pPr>
      <w:r>
        <w:rPr/>
        <w:t>Rukopis</w:t>
      </w:r>
      <w:r>
        <w:rPr>
          <w:spacing w:val="-5"/>
        </w:rPr>
        <w:t> </w:t>
      </w:r>
      <w:r>
        <w:rPr/>
        <w:t>dovršen</w:t>
      </w:r>
      <w:r>
        <w:rPr>
          <w:spacing w:val="-4"/>
        </w:rPr>
        <w:t> </w:t>
      </w:r>
      <w:r>
        <w:rPr/>
        <w:t>u</w:t>
      </w:r>
      <w:r>
        <w:rPr>
          <w:spacing w:val="-5"/>
        </w:rPr>
        <w:t> </w:t>
      </w:r>
      <w:r>
        <w:rPr/>
        <w:t>[mjesecu]</w:t>
      </w:r>
      <w:r>
        <w:rPr>
          <w:spacing w:val="-4"/>
        </w:rPr>
        <w:t> </w:t>
      </w:r>
      <w:r>
        <w:rPr>
          <w:spacing w:val="-2"/>
        </w:rPr>
        <w:t>[godini]</w:t>
      </w:r>
    </w:p>
    <w:p>
      <w:pPr>
        <w:pStyle w:val="BodyText"/>
        <w:spacing w:line="560" w:lineRule="atLeast"/>
        <w:ind w:left="160" w:right="5031"/>
      </w:pPr>
      <w:r>
        <w:rPr/>
        <w:t>Revidirano</w:t>
      </w:r>
      <w:r>
        <w:rPr>
          <w:spacing w:val="-6"/>
        </w:rPr>
        <w:t> </w:t>
      </w:r>
      <w:r>
        <w:rPr/>
        <w:t>izdanje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Ispravljeno</w:t>
      </w:r>
      <w:r>
        <w:rPr>
          <w:spacing w:val="-6"/>
        </w:rPr>
        <w:t> </w:t>
      </w:r>
      <w:r>
        <w:rPr/>
        <w:t>izdanje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>
          <w:i/>
        </w:rPr>
        <w:t>n.</w:t>
      </w:r>
      <w:r>
        <w:rPr>
          <w:i/>
          <w:spacing w:val="-6"/>
        </w:rPr>
        <w:t> </w:t>
      </w:r>
      <w:r>
        <w:rPr/>
        <w:t>izdanje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83" w:lineRule="auto" w:before="100"/>
        <w:ind w:left="160" w:right="3300"/>
      </w:pPr>
      <w:r>
        <w:rPr/>
        <w:t>Ovaj</w:t>
      </w:r>
      <w:r>
        <w:rPr>
          <w:spacing w:val="-9"/>
        </w:rPr>
        <w:t> </w:t>
      </w:r>
      <w:r>
        <w:rPr/>
        <w:t>dokument</w:t>
      </w:r>
      <w:r>
        <w:rPr>
          <w:spacing w:val="-9"/>
        </w:rPr>
        <w:t> </w:t>
      </w:r>
      <w:r>
        <w:rPr/>
        <w:t>nije</w:t>
      </w:r>
      <w:r>
        <w:rPr>
          <w:spacing w:val="-9"/>
        </w:rPr>
        <w:t> </w:t>
      </w:r>
      <w:r>
        <w:rPr/>
        <w:t>službeno</w:t>
      </w:r>
      <w:r>
        <w:rPr>
          <w:spacing w:val="-9"/>
        </w:rPr>
        <w:t> </w:t>
      </w:r>
      <w:r>
        <w:rPr/>
        <w:t>stajalište</w:t>
      </w:r>
      <w:r>
        <w:rPr>
          <w:spacing w:val="-9"/>
        </w:rPr>
        <w:t> </w:t>
      </w:r>
      <w:r>
        <w:rPr/>
        <w:t>[institucije/tijela/službe]. Luxembourg: Ured za publikacije Europske unije, [godina.]</w:t>
      </w:r>
    </w:p>
    <w:p>
      <w:pPr>
        <w:pStyle w:val="BodyText"/>
        <w:spacing w:line="228" w:lineRule="exact"/>
        <w:ind w:left="160"/>
      </w:pPr>
      <w:r>
        <w:rPr/>
        <w:t>©</w:t>
      </w:r>
      <w:r>
        <w:rPr>
          <w:spacing w:val="-5"/>
        </w:rPr>
        <w:t> </w:t>
      </w:r>
      <w:r>
        <w:rPr/>
        <w:t>Europska</w:t>
      </w:r>
      <w:r>
        <w:rPr>
          <w:spacing w:val="-5"/>
        </w:rPr>
        <w:t> </w:t>
      </w:r>
      <w:r>
        <w:rPr/>
        <w:t>unija,</w:t>
      </w:r>
      <w:r>
        <w:rPr>
          <w:spacing w:val="-5"/>
        </w:rPr>
        <w:t> </w:t>
      </w:r>
      <w:r>
        <w:rPr>
          <w:spacing w:val="-2"/>
        </w:rPr>
        <w:t>[godina.]</w:t>
      </w:r>
    </w:p>
    <w:p>
      <w:pPr>
        <w:pStyle w:val="BodyText"/>
        <w:spacing w:before="104"/>
        <w:ind w:left="160"/>
      </w:pPr>
      <w:r>
        <w:rPr/>
        <w:t>Umnožavanje</w:t>
      </w:r>
      <w:r>
        <w:rPr>
          <w:spacing w:val="-7"/>
        </w:rPr>
        <w:t> </w:t>
      </w:r>
      <w:r>
        <w:rPr/>
        <w:t>je</w:t>
      </w:r>
      <w:r>
        <w:rPr>
          <w:spacing w:val="-6"/>
        </w:rPr>
        <w:t> </w:t>
      </w:r>
      <w:r>
        <w:rPr/>
        <w:t>dopušteno</w:t>
      </w:r>
      <w:r>
        <w:rPr>
          <w:spacing w:val="-6"/>
        </w:rPr>
        <w:t> </w:t>
      </w:r>
      <w:r>
        <w:rPr/>
        <w:t>uz</w:t>
      </w:r>
      <w:r>
        <w:rPr>
          <w:spacing w:val="-6"/>
        </w:rPr>
        <w:t> </w:t>
      </w:r>
      <w:r>
        <w:rPr/>
        <w:t>uvjet</w:t>
      </w:r>
      <w:r>
        <w:rPr>
          <w:spacing w:val="-6"/>
        </w:rPr>
        <w:t> </w:t>
      </w:r>
      <w:r>
        <w:rPr/>
        <w:t>navođenja</w:t>
      </w:r>
      <w:r>
        <w:rPr>
          <w:spacing w:val="-6"/>
        </w:rPr>
        <w:t> </w:t>
      </w:r>
      <w:r>
        <w:rPr>
          <w:spacing w:val="-2"/>
        </w:rPr>
        <w:t>izvora.</w:t>
      </w:r>
    </w:p>
    <w:p>
      <w:pPr>
        <w:pStyle w:val="BodyText"/>
        <w:spacing w:before="98"/>
      </w:pPr>
    </w:p>
    <w:p>
      <w:pPr>
        <w:pStyle w:val="BodyText"/>
        <w:ind w:left="160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60" w:right="37"/>
      </w:pPr>
      <w:r>
        <w:rPr/>
        <w:t>Za svaku uporabu ili umnožavanje elemenata koji nisu u vlasništvu Europske unije možda će biti potrebno zatražiti</w:t>
      </w:r>
      <w:r>
        <w:rPr>
          <w:spacing w:val="-4"/>
        </w:rPr>
        <w:t> </w:t>
      </w:r>
      <w:r>
        <w:rPr/>
        <w:t>dopuštenje</w:t>
      </w:r>
      <w:r>
        <w:rPr>
          <w:spacing w:val="-4"/>
        </w:rPr>
        <w:t> </w:t>
      </w:r>
      <w:r>
        <w:rPr/>
        <w:t>izravno</w:t>
      </w:r>
      <w:r>
        <w:rPr>
          <w:spacing w:val="-4"/>
        </w:rPr>
        <w:t> </w:t>
      </w:r>
      <w:r>
        <w:rPr/>
        <w:t>od</w:t>
      </w:r>
      <w:r>
        <w:rPr>
          <w:spacing w:val="-4"/>
        </w:rPr>
        <w:t> </w:t>
      </w:r>
      <w:r>
        <w:rPr/>
        <w:t>odgovarajućih</w:t>
      </w:r>
      <w:r>
        <w:rPr>
          <w:spacing w:val="-4"/>
        </w:rPr>
        <w:t> </w:t>
      </w:r>
      <w:r>
        <w:rPr/>
        <w:t>nositelja</w:t>
      </w:r>
      <w:r>
        <w:rPr>
          <w:spacing w:val="-4"/>
        </w:rPr>
        <w:t> </w:t>
      </w:r>
      <w:r>
        <w:rPr/>
        <w:t>prava.</w:t>
      </w:r>
      <w:r>
        <w:rPr>
          <w:spacing w:val="-3"/>
        </w:rPr>
        <w:t> </w:t>
      </w:r>
      <w:r>
        <w:rPr/>
        <w:t>Europska</w:t>
      </w:r>
      <w:r>
        <w:rPr>
          <w:spacing w:val="-4"/>
        </w:rPr>
        <w:t> </w:t>
      </w:r>
      <w:r>
        <w:rPr/>
        <w:t>unija</w:t>
      </w:r>
      <w:r>
        <w:rPr>
          <w:spacing w:val="-4"/>
        </w:rPr>
        <w:t> </w:t>
      </w:r>
      <w:r>
        <w:rPr/>
        <w:t>ne</w:t>
      </w:r>
      <w:r>
        <w:rPr>
          <w:spacing w:val="-4"/>
        </w:rPr>
        <w:t> </w:t>
      </w:r>
      <w:r>
        <w:rPr/>
        <w:t>posjeduje</w:t>
      </w:r>
      <w:r>
        <w:rPr>
          <w:spacing w:val="-4"/>
        </w:rPr>
        <w:t> </w:t>
      </w:r>
      <w:r>
        <w:rPr/>
        <w:t>autorsko</w:t>
      </w:r>
      <w:r>
        <w:rPr>
          <w:spacing w:val="-4"/>
        </w:rPr>
        <w:t> </w:t>
      </w:r>
      <w:r>
        <w:rPr/>
        <w:t>pravo</w:t>
      </w:r>
      <w:r>
        <w:rPr>
          <w:spacing w:val="-4"/>
        </w:rPr>
        <w:t> </w:t>
      </w:r>
      <w:r>
        <w:rPr/>
        <w:t>koje se odnosi na sljedeće elemente: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naslovnica,</w:t>
      </w:r>
      <w:r>
        <w:rPr>
          <w:spacing w:val="-10"/>
          <w:sz w:val="20"/>
        </w:rPr>
        <w:t> </w:t>
      </w:r>
      <w:r>
        <w:rPr>
          <w:sz w:val="20"/>
        </w:rPr>
        <w:t>[predmetni</w:t>
      </w:r>
      <w:r>
        <w:rPr>
          <w:spacing w:val="-10"/>
          <w:sz w:val="20"/>
        </w:rPr>
        <w:t> </w:t>
      </w:r>
      <w:r>
        <w:rPr>
          <w:sz w:val="20"/>
        </w:rPr>
        <w:t>element],</w:t>
      </w:r>
      <w:r>
        <w:rPr>
          <w:spacing w:val="-10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izvor:</w:t>
      </w:r>
      <w:r>
        <w:rPr>
          <w:i/>
          <w:spacing w:val="-9"/>
          <w:sz w:val="20"/>
        </w:rPr>
        <w:t> </w:t>
      </w:r>
      <w:r>
        <w:rPr>
          <w:sz w:val="20"/>
        </w:rPr>
        <w:t>npr.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stranica</w:t>
      </w:r>
      <w:r>
        <w:rPr>
          <w:spacing w:val="-10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[predmetni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izvor:</w:t>
      </w:r>
      <w:r>
        <w:rPr>
          <w:i/>
          <w:spacing w:val="-6"/>
          <w:sz w:val="20"/>
        </w:rPr>
        <w:t> </w:t>
      </w:r>
      <w:r>
        <w:rPr>
          <w:sz w:val="20"/>
        </w:rPr>
        <w:t>npr.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[autor],</w:t>
      </w:r>
      <w:r>
        <w:rPr>
          <w:spacing w:val="-7"/>
          <w:sz w:val="20"/>
        </w:rPr>
        <w:t> </w:t>
      </w:r>
      <w:r>
        <w:rPr>
          <w:sz w:val="20"/>
        </w:rPr>
        <w:t>sva</w:t>
      </w:r>
      <w:r>
        <w:rPr>
          <w:spacing w:val="-7"/>
          <w:sz w:val="20"/>
        </w:rPr>
        <w:t> </w:t>
      </w:r>
      <w:r>
        <w:rPr>
          <w:sz w:val="20"/>
        </w:rPr>
        <w:t>prava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pridržana,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107" w:hanging="380"/>
        <w:jc w:val="left"/>
        <w:rPr>
          <w:sz w:val="20"/>
        </w:rPr>
      </w:pPr>
      <w:r>
        <w:rPr>
          <w:sz w:val="20"/>
        </w:rPr>
        <w:t>stranica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[predmetni</w:t>
      </w:r>
      <w:r>
        <w:rPr>
          <w:spacing w:val="-4"/>
          <w:sz w:val="20"/>
        </w:rPr>
        <w:t> </w:t>
      </w:r>
      <w:r>
        <w:rPr>
          <w:sz w:val="20"/>
        </w:rPr>
        <w:t>element],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izvor:</w:t>
      </w:r>
      <w:r>
        <w:rPr>
          <w:i/>
          <w:spacing w:val="-3"/>
          <w:sz w:val="20"/>
        </w:rPr>
        <w:t> </w:t>
      </w:r>
      <w:r>
        <w:rPr>
          <w:sz w:val="20"/>
        </w:rPr>
        <w:t>npr.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licenciran</w:t>
      </w:r>
      <w:r>
        <w:rPr>
          <w:spacing w:val="-4"/>
          <w:sz w:val="20"/>
        </w:rPr>
        <w:t> </w:t>
      </w:r>
      <w:r>
        <w:rPr>
          <w:sz w:val="20"/>
        </w:rPr>
        <w:t>pod</w:t>
      </w:r>
      <w:r>
        <w:rPr>
          <w:spacing w:val="-4"/>
          <w:sz w:val="20"/>
        </w:rPr>
        <w:t> </w:t>
      </w:r>
      <w:r>
        <w:rPr>
          <w:sz w:val="20"/>
        </w:rPr>
        <w:t>licencijom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 [+ poveznica na licenciju],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3" w:after="0"/>
        <w:ind w:left="880" w:right="0" w:hanging="380"/>
        <w:jc w:val="left"/>
        <w:rPr>
          <w:sz w:val="20"/>
        </w:rPr>
      </w:pPr>
      <w:r>
        <w:rPr>
          <w:sz w:val="20"/>
        </w:rPr>
        <w:t>[ilustracija/fotografija/itd.]</w:t>
      </w:r>
      <w:r>
        <w:rPr>
          <w:spacing w:val="-7"/>
          <w:sz w:val="20"/>
        </w:rPr>
        <w:t> </w:t>
      </w:r>
      <w:r>
        <w:rPr>
          <w:sz w:val="20"/>
        </w:rPr>
        <w:t>na</w:t>
      </w:r>
      <w:r>
        <w:rPr>
          <w:spacing w:val="-7"/>
          <w:sz w:val="20"/>
        </w:rPr>
        <w:t> </w:t>
      </w:r>
      <w:r>
        <w:rPr>
          <w:sz w:val="20"/>
        </w:rPr>
        <w:t>stranici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[ime</w:t>
      </w:r>
      <w:r>
        <w:rPr>
          <w:spacing w:val="-7"/>
          <w:sz w:val="20"/>
        </w:rPr>
        <w:t> </w:t>
      </w:r>
      <w:r>
        <w:rPr>
          <w:sz w:val="20"/>
        </w:rPr>
        <w:t>i</w:t>
      </w:r>
      <w:r>
        <w:rPr>
          <w:spacing w:val="-7"/>
          <w:sz w:val="20"/>
        </w:rPr>
        <w:t> </w:t>
      </w:r>
      <w:r>
        <w:rPr>
          <w:sz w:val="20"/>
        </w:rPr>
        <w:t>prezime</w:t>
      </w:r>
      <w:r>
        <w:rPr>
          <w:spacing w:val="-7"/>
          <w:sz w:val="20"/>
        </w:rPr>
        <w:t> </w:t>
      </w:r>
      <w:r>
        <w:rPr>
          <w:sz w:val="20"/>
        </w:rPr>
        <w:t>umjetnika],</w:t>
      </w:r>
      <w:r>
        <w:rPr>
          <w:spacing w:val="-7"/>
          <w:sz w:val="20"/>
        </w:rPr>
        <w:t> </w:t>
      </w:r>
      <w:r>
        <w:rPr>
          <w:sz w:val="20"/>
        </w:rPr>
        <w:t>[godina],</w:t>
      </w:r>
      <w:r>
        <w:rPr>
          <w:spacing w:val="-7"/>
          <w:sz w:val="20"/>
        </w:rPr>
        <w:t> </w:t>
      </w:r>
      <w:r>
        <w:rPr>
          <w:sz w:val="20"/>
        </w:rPr>
        <w:t>sva</w:t>
      </w:r>
      <w:r>
        <w:rPr>
          <w:spacing w:val="-7"/>
          <w:sz w:val="20"/>
        </w:rPr>
        <w:t> </w:t>
      </w:r>
      <w:r>
        <w:rPr>
          <w:sz w:val="20"/>
        </w:rPr>
        <w:t>prava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pridržana.</w:t>
      </w:r>
    </w:p>
    <w:p>
      <w:pPr>
        <w:pStyle w:val="BodyText"/>
        <w:spacing w:before="98"/>
      </w:pPr>
    </w:p>
    <w:p>
      <w:pPr>
        <w:pStyle w:val="BodyText"/>
        <w:ind w:left="160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60"/>
      </w:pPr>
      <w:r>
        <w:rPr/>
        <w:t>Za</w:t>
      </w:r>
      <w:r>
        <w:rPr>
          <w:spacing w:val="-3"/>
        </w:rPr>
        <w:t> </w:t>
      </w:r>
      <w:r>
        <w:rPr/>
        <w:t>svaku</w:t>
      </w:r>
      <w:r>
        <w:rPr>
          <w:spacing w:val="-3"/>
        </w:rPr>
        <w:t> </w:t>
      </w:r>
      <w:r>
        <w:rPr/>
        <w:t>uporabu</w:t>
      </w:r>
      <w:r>
        <w:rPr>
          <w:spacing w:val="-3"/>
        </w:rPr>
        <w:t> </w:t>
      </w:r>
      <w:r>
        <w:rPr/>
        <w:t>ili</w:t>
      </w:r>
      <w:r>
        <w:rPr>
          <w:spacing w:val="-3"/>
        </w:rPr>
        <w:t> </w:t>
      </w:r>
      <w:r>
        <w:rPr/>
        <w:t>umnožavanje</w:t>
      </w:r>
      <w:r>
        <w:rPr>
          <w:spacing w:val="-3"/>
        </w:rPr>
        <w:t> </w:t>
      </w:r>
      <w:r>
        <w:rPr/>
        <w:t>elemenata</w:t>
      </w:r>
      <w:r>
        <w:rPr>
          <w:spacing w:val="-3"/>
        </w:rPr>
        <w:t> </w:t>
      </w:r>
      <w:r>
        <w:rPr/>
        <w:t>koji</w:t>
      </w:r>
      <w:r>
        <w:rPr>
          <w:spacing w:val="-3"/>
        </w:rPr>
        <w:t> </w:t>
      </w:r>
      <w:r>
        <w:rPr/>
        <w:t>nisu</w:t>
      </w:r>
      <w:r>
        <w:rPr>
          <w:spacing w:val="-3"/>
        </w:rPr>
        <w:t> </w:t>
      </w:r>
      <w:r>
        <w:rPr/>
        <w:t>u</w:t>
      </w:r>
      <w:r>
        <w:rPr>
          <w:spacing w:val="-3"/>
        </w:rPr>
        <w:t> </w:t>
      </w:r>
      <w:r>
        <w:rPr/>
        <w:t>vlasništvu</w:t>
      </w:r>
      <w:r>
        <w:rPr>
          <w:spacing w:val="-3"/>
        </w:rPr>
        <w:t> </w:t>
      </w:r>
      <w:r>
        <w:rPr/>
        <w:t>Europske</w:t>
      </w:r>
      <w:r>
        <w:rPr>
          <w:spacing w:val="-3"/>
        </w:rPr>
        <w:t> </w:t>
      </w:r>
      <w:r>
        <w:rPr/>
        <w:t>unije</w:t>
      </w:r>
      <w:r>
        <w:rPr>
          <w:spacing w:val="-3"/>
        </w:rPr>
        <w:t> </w:t>
      </w:r>
      <w:r>
        <w:rPr/>
        <w:t>možda</w:t>
      </w:r>
      <w:r>
        <w:rPr>
          <w:spacing w:val="-3"/>
        </w:rPr>
        <w:t> </w:t>
      </w:r>
      <w:r>
        <w:rPr/>
        <w:t>će</w:t>
      </w:r>
      <w:r>
        <w:rPr>
          <w:spacing w:val="-3"/>
        </w:rPr>
        <w:t> </w:t>
      </w:r>
      <w:r>
        <w:rPr/>
        <w:t>biti</w:t>
      </w:r>
      <w:r>
        <w:rPr>
          <w:spacing w:val="-3"/>
        </w:rPr>
        <w:t> </w:t>
      </w:r>
      <w:r>
        <w:rPr/>
        <w:t>potrebno zatražiti dopuštenje izravno od odgovarajućih nositelja prava.</w:t>
      </w:r>
    </w:p>
    <w:p>
      <w:pPr>
        <w:pStyle w:val="BodyText"/>
        <w:spacing w:before="128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06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292293</wp:posOffset>
                </wp:positionV>
                <wp:extent cx="1676400" cy="4445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3.015242pt;width:131.970001pt;height:.31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1"/>
        <w:ind w:left="460" w:right="454" w:hanging="300"/>
        <w:jc w:val="left"/>
        <w:rPr>
          <w:rFonts w:ascii="Gill Sans MT"/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rFonts w:ascii="Gill Sans MT"/>
            <w:w w:val="105"/>
            <w:sz w:val="17"/>
          </w:rPr>
          <w:t>(</w:t>
        </w:r>
        <w:r>
          <w:rPr>
            <w:rFonts w:ascii="Gill Sans MT"/>
            <w:w w:val="105"/>
            <w:position w:val="4"/>
            <w:sz w:val="14"/>
          </w:rPr>
          <w:t>1</w:t>
        </w:r>
        <w:r>
          <w:rPr>
            <w:rFonts w:ascii="Gill Sans MT"/>
            <w:w w:val="105"/>
            <w:sz w:val="17"/>
          </w:rPr>
          <w:t>)</w:t>
        </w:r>
      </w:hyperlink>
      <w:r>
        <w:rPr>
          <w:rFonts w:ascii="Gill Sans MT"/>
          <w:spacing w:val="80"/>
          <w:w w:val="105"/>
          <w:sz w:val="17"/>
        </w:rPr>
        <w:t> </w:t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5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hyperlink r:id="rId5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6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spacing w:after="0" w:line="264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940"/>
        </w:sectPr>
      </w:pPr>
    </w:p>
    <w:p>
      <w:pPr>
        <w:pStyle w:val="Heading1"/>
        <w:spacing w:before="76"/>
      </w:pPr>
      <w:r>
        <w:rPr/>
        <w:t>Kontakt</w:t>
      </w:r>
      <w:r>
        <w:rPr>
          <w:spacing w:val="-3"/>
        </w:rPr>
        <w:t> </w:t>
      </w:r>
      <w:r>
        <w:rPr/>
        <w:t>s</w:t>
      </w:r>
      <w:r>
        <w:rPr>
          <w:spacing w:val="-2"/>
        </w:rPr>
        <w:t> </w:t>
      </w:r>
      <w:r>
        <w:rPr/>
        <w:t>EU-</w:t>
      </w:r>
      <w:r>
        <w:rPr>
          <w:spacing w:val="-5"/>
        </w:rPr>
        <w:t>om</w:t>
      </w:r>
    </w:p>
    <w:p>
      <w:pPr>
        <w:pStyle w:val="Heading2"/>
        <w:spacing w:before="155"/>
      </w:pPr>
      <w:r>
        <w:rPr>
          <w:spacing w:val="-2"/>
        </w:rPr>
        <w:t>Osobno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U</w:t>
      </w:r>
      <w:r>
        <w:rPr>
          <w:spacing w:val="-4"/>
          <w:sz w:val="22"/>
        </w:rPr>
        <w:t> </w:t>
      </w:r>
      <w:r>
        <w:rPr>
          <w:sz w:val="22"/>
        </w:rPr>
        <w:t>cijeloj</w:t>
      </w:r>
      <w:r>
        <w:rPr>
          <w:spacing w:val="-4"/>
          <w:sz w:val="22"/>
        </w:rPr>
        <w:t> </w:t>
      </w:r>
      <w:r>
        <w:rPr>
          <w:sz w:val="22"/>
        </w:rPr>
        <w:t>Europskoj</w:t>
      </w:r>
      <w:r>
        <w:rPr>
          <w:spacing w:val="-4"/>
          <w:sz w:val="22"/>
        </w:rPr>
        <w:t> </w:t>
      </w:r>
      <w:r>
        <w:rPr>
          <w:sz w:val="22"/>
        </w:rPr>
        <w:t>uniji</w:t>
      </w:r>
      <w:r>
        <w:rPr>
          <w:spacing w:val="-4"/>
          <w:sz w:val="22"/>
        </w:rPr>
        <w:t> </w:t>
      </w:r>
      <w:r>
        <w:rPr>
          <w:sz w:val="22"/>
        </w:rPr>
        <w:t>postoje</w:t>
      </w:r>
      <w:r>
        <w:rPr>
          <w:spacing w:val="-4"/>
          <w:sz w:val="22"/>
        </w:rPr>
        <w:t> </w:t>
      </w:r>
      <w:r>
        <w:rPr>
          <w:sz w:val="22"/>
        </w:rPr>
        <w:t>stotine</w:t>
      </w:r>
      <w:r>
        <w:rPr>
          <w:spacing w:val="-4"/>
          <w:sz w:val="22"/>
        </w:rPr>
        <w:t> </w:t>
      </w:r>
      <w:r>
        <w:rPr>
          <w:sz w:val="22"/>
        </w:rPr>
        <w:t>centara</w:t>
      </w:r>
      <w:r>
        <w:rPr>
          <w:spacing w:val="-4"/>
          <w:sz w:val="22"/>
        </w:rPr>
        <w:t> </w:t>
      </w: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sz w:val="22"/>
        </w:rPr>
        <w:t>.</w:t>
      </w:r>
      <w:r>
        <w:rPr>
          <w:spacing w:val="-4"/>
          <w:sz w:val="22"/>
        </w:rPr>
        <w:t> </w:t>
      </w:r>
      <w:r>
        <w:rPr>
          <w:sz w:val="22"/>
        </w:rPr>
        <w:t>Adresu</w:t>
      </w:r>
      <w:r>
        <w:rPr>
          <w:spacing w:val="-4"/>
          <w:sz w:val="22"/>
        </w:rPr>
        <w:t> </w:t>
      </w:r>
      <w:r>
        <w:rPr>
          <w:sz w:val="22"/>
        </w:rPr>
        <w:t>najbližeg</w:t>
      </w:r>
      <w:r>
        <w:rPr>
          <w:spacing w:val="-4"/>
          <w:sz w:val="22"/>
        </w:rPr>
        <w:t> </w:t>
      </w:r>
      <w:r>
        <w:rPr>
          <w:sz w:val="22"/>
        </w:rPr>
        <w:t>centra</w:t>
      </w:r>
      <w:r>
        <w:rPr>
          <w:spacing w:val="-4"/>
          <w:sz w:val="22"/>
        </w:rPr>
        <w:t> </w:t>
      </w:r>
      <w:r>
        <w:rPr>
          <w:sz w:val="22"/>
        </w:rPr>
        <w:t>možete pronaći na internetu (</w:t>
      </w:r>
      <w:hyperlink r:id="rId7">
        <w:r>
          <w:rPr>
            <w:color w:val="337AB7"/>
            <w:sz w:val="22"/>
            <w:u w:val="single" w:color="337AB7"/>
          </w:rPr>
          <w:t>european-union.europa.eu/contact-eu/meet-us_hr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Telefonom</w:t>
      </w:r>
      <w:r>
        <w:rPr>
          <w:spacing w:val="-12"/>
        </w:rPr>
        <w:t> </w:t>
      </w:r>
      <w:r>
        <w:rPr/>
        <w:t>ili</w:t>
      </w:r>
      <w:r>
        <w:rPr>
          <w:spacing w:val="-12"/>
        </w:rPr>
        <w:t> </w:t>
      </w:r>
      <w:r>
        <w:rPr/>
        <w:t>pismenim</w:t>
      </w:r>
      <w:r>
        <w:rPr>
          <w:spacing w:val="-11"/>
        </w:rPr>
        <w:t> </w:t>
      </w:r>
      <w:r>
        <w:rPr>
          <w:spacing w:val="-4"/>
        </w:rPr>
        <w:t>putem</w:t>
      </w:r>
    </w:p>
    <w:p>
      <w:pPr>
        <w:spacing w:before="166"/>
        <w:ind w:left="443" w:right="0" w:firstLine="0"/>
        <w:jc w:val="left"/>
        <w:rPr>
          <w:sz w:val="22"/>
        </w:rPr>
      </w:pPr>
      <w:r>
        <w:rPr>
          <w:i/>
          <w:sz w:val="22"/>
        </w:rPr>
        <w:t>Europe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4"/>
          <w:sz w:val="22"/>
        </w:rPr>
        <w:t> </w:t>
      </w:r>
      <w:r>
        <w:rPr>
          <w:sz w:val="22"/>
        </w:rPr>
        <w:t>je</w:t>
      </w:r>
      <w:r>
        <w:rPr>
          <w:spacing w:val="-5"/>
          <w:sz w:val="22"/>
        </w:rPr>
        <w:t> </w:t>
      </w:r>
      <w:r>
        <w:rPr>
          <w:sz w:val="22"/>
        </w:rPr>
        <w:t>služba</w:t>
      </w:r>
      <w:r>
        <w:rPr>
          <w:spacing w:val="-4"/>
          <w:sz w:val="22"/>
        </w:rPr>
        <w:t> </w:t>
      </w:r>
      <w:r>
        <w:rPr>
          <w:sz w:val="22"/>
        </w:rPr>
        <w:t>koja</w:t>
      </w:r>
      <w:r>
        <w:rPr>
          <w:spacing w:val="-5"/>
          <w:sz w:val="22"/>
        </w:rPr>
        <w:t> </w:t>
      </w:r>
      <w:r>
        <w:rPr>
          <w:sz w:val="22"/>
        </w:rPr>
        <w:t>odgovara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vaša</w:t>
      </w:r>
      <w:r>
        <w:rPr>
          <w:spacing w:val="-5"/>
          <w:sz w:val="22"/>
        </w:rPr>
        <w:t> </w:t>
      </w:r>
      <w:r>
        <w:rPr>
          <w:sz w:val="22"/>
        </w:rPr>
        <w:t>pitanja</w:t>
      </w:r>
      <w:r>
        <w:rPr>
          <w:spacing w:val="-5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Europskoj</w:t>
      </w:r>
      <w:r>
        <w:rPr>
          <w:spacing w:val="-5"/>
          <w:sz w:val="22"/>
        </w:rPr>
        <w:t> </w:t>
      </w:r>
      <w:r>
        <w:rPr>
          <w:sz w:val="22"/>
        </w:rPr>
        <w:t>uniji.</w:t>
      </w:r>
      <w:r>
        <w:rPr>
          <w:spacing w:val="-5"/>
          <w:sz w:val="22"/>
        </w:rPr>
        <w:t> </w:t>
      </w:r>
      <w:r>
        <w:rPr>
          <w:sz w:val="22"/>
        </w:rPr>
        <w:t>Možete</w:t>
      </w:r>
      <w:r>
        <w:rPr>
          <w:spacing w:val="-4"/>
          <w:sz w:val="22"/>
        </w:rPr>
        <w:t> </w:t>
      </w:r>
      <w:r>
        <w:rPr>
          <w:sz w:val="22"/>
        </w:rPr>
        <w:t>im</w:t>
      </w:r>
      <w:r>
        <w:rPr>
          <w:spacing w:val="-5"/>
          <w:sz w:val="22"/>
        </w:rPr>
        <w:t> </w:t>
      </w:r>
      <w:r>
        <w:rPr>
          <w:sz w:val="22"/>
        </w:rPr>
        <w:t>se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obratiti: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40" w:lineRule="auto" w:before="167" w:after="0"/>
        <w:ind w:left="1163" w:right="0" w:hanging="400"/>
        <w:jc w:val="left"/>
        <w:rPr>
          <w:sz w:val="22"/>
        </w:rPr>
      </w:pPr>
      <w:r>
        <w:rPr>
          <w:sz w:val="22"/>
        </w:rPr>
        <w:t>na</w:t>
      </w:r>
      <w:r>
        <w:rPr>
          <w:spacing w:val="-7"/>
          <w:sz w:val="22"/>
        </w:rPr>
        <w:t> </w:t>
      </w:r>
      <w:r>
        <w:rPr>
          <w:sz w:val="22"/>
        </w:rPr>
        <w:t>besplatni</w:t>
      </w:r>
      <w:r>
        <w:rPr>
          <w:spacing w:val="-4"/>
          <w:sz w:val="22"/>
        </w:rPr>
        <w:t> </w:t>
      </w:r>
      <w:r>
        <w:rPr>
          <w:sz w:val="22"/>
        </w:rPr>
        <w:t>telefonski</w:t>
      </w:r>
      <w:r>
        <w:rPr>
          <w:spacing w:val="-5"/>
          <w:sz w:val="22"/>
        </w:rPr>
        <w:t> </w:t>
      </w:r>
      <w:r>
        <w:rPr>
          <w:sz w:val="22"/>
        </w:rPr>
        <w:t>broj: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(neki</w:t>
      </w:r>
      <w:r>
        <w:rPr>
          <w:spacing w:val="-4"/>
          <w:sz w:val="22"/>
        </w:rPr>
        <w:t> </w:t>
      </w:r>
      <w:r>
        <w:rPr>
          <w:sz w:val="22"/>
        </w:rPr>
        <w:t>operateri</w:t>
      </w:r>
      <w:r>
        <w:rPr>
          <w:spacing w:val="-5"/>
          <w:sz w:val="22"/>
        </w:rPr>
        <w:t> </w:t>
      </w:r>
      <w:r>
        <w:rPr>
          <w:sz w:val="22"/>
        </w:rPr>
        <w:t>naplaćuju</w:t>
      </w:r>
      <w:r>
        <w:rPr>
          <w:spacing w:val="-4"/>
          <w:sz w:val="22"/>
        </w:rPr>
        <w:t> </w:t>
      </w:r>
      <w:r>
        <w:rPr>
          <w:sz w:val="22"/>
        </w:rPr>
        <w:t>te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pozive),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broj:</w:t>
      </w:r>
      <w:r>
        <w:rPr>
          <w:spacing w:val="-4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z w:val="22"/>
        </w:rPr>
        <w:t>22999696</w:t>
      </w:r>
      <w:r>
        <w:rPr>
          <w:spacing w:val="-4"/>
          <w:sz w:val="22"/>
        </w:rPr>
        <w:t> </w:t>
      </w:r>
      <w:r>
        <w:rPr>
          <w:spacing w:val="-5"/>
          <w:sz w:val="22"/>
        </w:rPr>
        <w:t>ili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z w:val="22"/>
        </w:rPr>
        <w:t>putem</w:t>
      </w:r>
      <w:r>
        <w:rPr>
          <w:spacing w:val="-5"/>
          <w:sz w:val="22"/>
        </w:rPr>
        <w:t> </w:t>
      </w:r>
      <w:r>
        <w:rPr>
          <w:sz w:val="22"/>
        </w:rPr>
        <w:t>obrasca:</w:t>
      </w:r>
      <w:r>
        <w:rPr>
          <w:spacing w:val="-3"/>
          <w:sz w:val="22"/>
        </w:rPr>
        <w:t> </w:t>
      </w:r>
      <w:hyperlink r:id="rId8">
        <w:r>
          <w:rPr>
            <w:color w:val="337AB7"/>
            <w:sz w:val="22"/>
            <w:u w:val="single" w:color="337AB7"/>
          </w:rPr>
          <w:t>european-union.europa.eu/contact-eu/write-</w:t>
        </w:r>
        <w:r>
          <w:rPr>
            <w:color w:val="337AB7"/>
            <w:spacing w:val="-2"/>
            <w:sz w:val="22"/>
            <w:u w:val="single" w:color="337AB7"/>
          </w:rPr>
          <w:t>us_hr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Traženje</w:t>
      </w:r>
      <w:r>
        <w:rPr>
          <w:spacing w:val="-11"/>
        </w:rPr>
        <w:t> </w:t>
      </w:r>
      <w:r>
        <w:rPr/>
        <w:t>informacija</w:t>
      </w:r>
      <w:r>
        <w:rPr>
          <w:spacing w:val="-11"/>
        </w:rPr>
        <w:t> </w:t>
      </w:r>
      <w:r>
        <w:rPr/>
        <w:t>o</w:t>
      </w:r>
      <w:r>
        <w:rPr>
          <w:spacing w:val="-11"/>
        </w:rPr>
        <w:t> </w:t>
      </w:r>
      <w:r>
        <w:rPr/>
        <w:t>EU-</w:t>
      </w:r>
      <w:r>
        <w:rPr>
          <w:spacing w:val="-10"/>
        </w:rPr>
        <w:t>u</w:t>
      </w:r>
    </w:p>
    <w:p>
      <w:pPr>
        <w:pStyle w:val="Heading2"/>
        <w:spacing w:before="155"/>
      </w:pPr>
      <w:r>
        <w:rPr/>
        <w:t>Na</w:t>
      </w:r>
      <w:r>
        <w:rPr>
          <w:spacing w:val="-2"/>
        </w:rPr>
        <w:t> internetu</w:t>
      </w:r>
    </w:p>
    <w:p>
      <w:pPr>
        <w:spacing w:line="290" w:lineRule="auto" w:before="166"/>
        <w:ind w:left="443" w:right="37" w:firstLine="0"/>
        <w:jc w:val="left"/>
        <w:rPr>
          <w:sz w:val="22"/>
        </w:rPr>
      </w:pPr>
      <w:r>
        <w:rPr>
          <w:sz w:val="22"/>
        </w:rPr>
        <w:t>Informacije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Europskoj</w:t>
      </w:r>
      <w:r>
        <w:rPr>
          <w:spacing w:val="-4"/>
          <w:sz w:val="22"/>
        </w:rPr>
        <w:t> </w:t>
      </w:r>
      <w:r>
        <w:rPr>
          <w:sz w:val="22"/>
        </w:rPr>
        <w:t>uniji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svim</w:t>
      </w:r>
      <w:r>
        <w:rPr>
          <w:spacing w:val="-4"/>
          <w:sz w:val="22"/>
        </w:rPr>
        <w:t> </w:t>
      </w:r>
      <w:r>
        <w:rPr>
          <w:sz w:val="22"/>
        </w:rPr>
        <w:t>službenim</w:t>
      </w:r>
      <w:r>
        <w:rPr>
          <w:spacing w:val="-4"/>
          <w:sz w:val="22"/>
        </w:rPr>
        <w:t> </w:t>
      </w:r>
      <w:r>
        <w:rPr>
          <w:sz w:val="22"/>
        </w:rPr>
        <w:t>jezicima</w:t>
      </w:r>
      <w:r>
        <w:rPr>
          <w:spacing w:val="-4"/>
          <w:sz w:val="22"/>
        </w:rPr>
        <w:t> </w:t>
      </w:r>
      <w:r>
        <w:rPr>
          <w:sz w:val="22"/>
        </w:rPr>
        <w:t>EU-a</w:t>
      </w:r>
      <w:r>
        <w:rPr>
          <w:spacing w:val="-4"/>
          <w:sz w:val="22"/>
        </w:rPr>
        <w:t> </w:t>
      </w:r>
      <w:r>
        <w:rPr>
          <w:sz w:val="22"/>
        </w:rPr>
        <w:t>dostupne</w:t>
      </w:r>
      <w:r>
        <w:rPr>
          <w:spacing w:val="-4"/>
          <w:sz w:val="22"/>
        </w:rPr>
        <w:t> </w:t>
      </w:r>
      <w:r>
        <w:rPr>
          <w:sz w:val="22"/>
        </w:rPr>
        <w:t>su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internetskim stranicama Europa (</w:t>
      </w:r>
      <w:hyperlink r:id="rId9">
        <w:r>
          <w:rPr>
            <w:color w:val="337AB7"/>
            <w:sz w:val="22"/>
            <w:u w:val="single" w:color="337AB7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14"/>
      </w:pPr>
      <w:r>
        <w:rPr/>
        <w:t>Publikacije</w:t>
      </w:r>
      <w:r>
        <w:rPr>
          <w:spacing w:val="-14"/>
        </w:rPr>
        <w:t> </w:t>
      </w:r>
      <w:r>
        <w:rPr/>
        <w:t>EU-</w:t>
      </w:r>
      <w:r>
        <w:rPr>
          <w:spacing w:val="-10"/>
        </w:rPr>
        <w:t>a</w:t>
      </w:r>
    </w:p>
    <w:p>
      <w:pPr>
        <w:spacing w:line="290" w:lineRule="auto" w:before="166"/>
        <w:ind w:left="443" w:right="644" w:firstLine="0"/>
        <w:jc w:val="left"/>
        <w:rPr>
          <w:sz w:val="22"/>
        </w:rPr>
      </w:pPr>
      <w:r>
        <w:rPr>
          <w:sz w:val="22"/>
        </w:rPr>
        <w:t>Publikacije EU-a možete pregledati ili naručiti preko internetske stranice </w:t>
      </w:r>
      <w:hyperlink r:id="rId10">
        <w:r>
          <w:rPr>
            <w:color w:val="337AB7"/>
            <w:sz w:val="22"/>
            <w:u w:val="single" w:color="337AB7"/>
          </w:rPr>
          <w:t>op.europa.eu/</w:t>
        </w:r>
      </w:hyperlink>
      <w:r>
        <w:rPr>
          <w:color w:val="337AB7"/>
          <w:sz w:val="22"/>
          <w:u w:val="none"/>
        </w:rPr>
        <w:t> </w:t>
      </w:r>
      <w:hyperlink r:id="rId10">
        <w:r>
          <w:rPr>
            <w:color w:val="337AB7"/>
            <w:sz w:val="22"/>
            <w:u w:val="single" w:color="337AB7"/>
          </w:rPr>
          <w:t>hr/publications</w:t>
        </w:r>
      </w:hyperlink>
      <w:r>
        <w:rPr>
          <w:sz w:val="22"/>
          <w:u w:val="none"/>
        </w:rPr>
        <w:t>.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Za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više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primjeraka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besplatnih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publikacija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obratite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svojoj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lokalnoj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službi </w:t>
      </w:r>
      <w:r>
        <w:rPr>
          <w:i/>
          <w:sz w:val="22"/>
          <w:u w:val="none"/>
        </w:rPr>
        <w:t>Europe Direct </w:t>
      </w:r>
      <w:r>
        <w:rPr>
          <w:sz w:val="22"/>
          <w:u w:val="none"/>
        </w:rPr>
        <w:t>ili dokumentacijskom centru</w:t>
      </w:r>
    </w:p>
    <w:p>
      <w:pPr>
        <w:spacing w:before="113"/>
        <w:ind w:left="443" w:right="0" w:firstLine="0"/>
        <w:jc w:val="left"/>
        <w:rPr>
          <w:sz w:val="22"/>
        </w:rPr>
      </w:pPr>
      <w:r>
        <w:rPr>
          <w:sz w:val="22"/>
        </w:rPr>
        <w:t>(</w:t>
      </w:r>
      <w:hyperlink r:id="rId7">
        <w:r>
          <w:rPr>
            <w:color w:val="337AB7"/>
            <w:sz w:val="22"/>
            <w:u w:val="single" w:color="337AB7"/>
          </w:rPr>
          <w:t>european-union.europa.eu/contact-eu/meet-</w:t>
        </w:r>
        <w:r>
          <w:rPr>
            <w:color w:val="337AB7"/>
            <w:spacing w:val="-2"/>
            <w:sz w:val="22"/>
            <w:u w:val="single" w:color="337AB7"/>
          </w:rPr>
          <w:t>us_hr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66"/>
      </w:pPr>
      <w:r>
        <w:rPr/>
        <w:t>Zakonodavstvo</w:t>
      </w:r>
      <w:r>
        <w:rPr>
          <w:spacing w:val="-7"/>
        </w:rPr>
        <w:t> </w:t>
      </w:r>
      <w:r>
        <w:rPr/>
        <w:t>EU-a</w:t>
      </w:r>
      <w:r>
        <w:rPr>
          <w:spacing w:val="-6"/>
        </w:rPr>
        <w:t> </w:t>
      </w:r>
      <w:r>
        <w:rPr/>
        <w:t>i</w:t>
      </w:r>
      <w:r>
        <w:rPr>
          <w:spacing w:val="-7"/>
        </w:rPr>
        <w:t> </w:t>
      </w:r>
      <w:r>
        <w:rPr/>
        <w:t>povezani</w:t>
      </w:r>
      <w:r>
        <w:rPr>
          <w:spacing w:val="-6"/>
        </w:rPr>
        <w:t> </w:t>
      </w:r>
      <w:r>
        <w:rPr>
          <w:spacing w:val="-2"/>
        </w:rPr>
        <w:t>dokumenti</w:t>
      </w:r>
    </w:p>
    <w:p>
      <w:pPr>
        <w:spacing w:line="290" w:lineRule="auto" w:before="167"/>
        <w:ind w:left="443" w:right="454" w:firstLine="0"/>
        <w:jc w:val="left"/>
        <w:rPr>
          <w:sz w:val="22"/>
        </w:rPr>
      </w:pPr>
      <w:r>
        <w:rPr>
          <w:sz w:val="22"/>
        </w:rPr>
        <w:t>Za pristup pravnim informacijama iz EU-a, uključujući cjelokupno zakonodavstvo EU-a od 1951.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svim</w:t>
      </w:r>
      <w:r>
        <w:rPr>
          <w:spacing w:val="-5"/>
          <w:sz w:val="22"/>
        </w:rPr>
        <w:t> </w:t>
      </w:r>
      <w:r>
        <w:rPr>
          <w:sz w:val="22"/>
        </w:rPr>
        <w:t>službenim</w:t>
      </w:r>
      <w:r>
        <w:rPr>
          <w:spacing w:val="-5"/>
          <w:sz w:val="22"/>
        </w:rPr>
        <w:t> </w:t>
      </w:r>
      <w:r>
        <w:rPr>
          <w:sz w:val="22"/>
        </w:rPr>
        <w:t>jezičnim</w:t>
      </w:r>
      <w:r>
        <w:rPr>
          <w:spacing w:val="-5"/>
          <w:sz w:val="22"/>
        </w:rPr>
        <w:t> </w:t>
      </w:r>
      <w:r>
        <w:rPr>
          <w:sz w:val="22"/>
        </w:rPr>
        <w:t>inačicama,</w:t>
      </w:r>
      <w:r>
        <w:rPr>
          <w:spacing w:val="-5"/>
          <w:sz w:val="22"/>
        </w:rPr>
        <w:t> </w:t>
      </w:r>
      <w:r>
        <w:rPr>
          <w:sz w:val="22"/>
        </w:rPr>
        <w:t>posjetite</w:t>
      </w:r>
      <w:r>
        <w:rPr>
          <w:spacing w:val="-5"/>
          <w:sz w:val="22"/>
        </w:rPr>
        <w:t> </w:t>
      </w:r>
      <w:r>
        <w:rPr>
          <w:sz w:val="22"/>
        </w:rPr>
        <w:t>internetske</w:t>
      </w:r>
      <w:r>
        <w:rPr>
          <w:spacing w:val="-5"/>
          <w:sz w:val="22"/>
        </w:rPr>
        <w:t> </w:t>
      </w:r>
      <w:r>
        <w:rPr>
          <w:sz w:val="22"/>
        </w:rPr>
        <w:t>stranice</w:t>
      </w:r>
      <w:r>
        <w:rPr>
          <w:spacing w:val="-5"/>
          <w:sz w:val="22"/>
        </w:rPr>
        <w:t> </w:t>
      </w:r>
      <w:r>
        <w:rPr>
          <w:sz w:val="22"/>
        </w:rPr>
        <w:t>EUR-Lexa</w:t>
      </w:r>
      <w:r>
        <w:rPr>
          <w:spacing w:val="-5"/>
          <w:sz w:val="22"/>
        </w:rPr>
        <w:t> </w:t>
      </w:r>
      <w:r>
        <w:rPr>
          <w:sz w:val="22"/>
        </w:rPr>
        <w:t>(</w:t>
      </w:r>
      <w:hyperlink r:id="rId11">
        <w:r>
          <w:rPr>
            <w:color w:val="337AB7"/>
            <w:sz w:val="22"/>
            <w:u w:val="single" w:color="337AB7"/>
          </w:rPr>
          <w:t>eur-</w:t>
        </w:r>
      </w:hyperlink>
      <w:r>
        <w:rPr>
          <w:color w:val="337AB7"/>
          <w:sz w:val="22"/>
          <w:u w:val="none"/>
        </w:rPr>
        <w:t> </w:t>
      </w:r>
      <w:hyperlink r:id="rId11">
        <w:r>
          <w:rPr>
            <w:color w:val="337AB7"/>
            <w:spacing w:val="-2"/>
            <w:sz w:val="22"/>
            <w:u w:val="single" w:color="337AB7"/>
          </w:rPr>
          <w:t>lex.europa.eu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Otvoreni</w:t>
      </w:r>
      <w:r>
        <w:rPr>
          <w:spacing w:val="-9"/>
        </w:rPr>
        <w:t> </w:t>
      </w:r>
      <w:r>
        <w:rPr/>
        <w:t>podaci</w:t>
      </w:r>
      <w:r>
        <w:rPr>
          <w:spacing w:val="-8"/>
        </w:rPr>
        <w:t> </w:t>
      </w:r>
      <w:r>
        <w:rPr/>
        <w:t>EU-</w:t>
      </w:r>
      <w:r>
        <w:rPr>
          <w:spacing w:val="-10"/>
        </w:rPr>
        <w:t>a</w:t>
      </w:r>
    </w:p>
    <w:p>
      <w:pPr>
        <w:spacing w:line="290" w:lineRule="auto" w:before="166"/>
        <w:ind w:left="443" w:right="644" w:firstLine="0"/>
        <w:jc w:val="left"/>
        <w:rPr>
          <w:sz w:val="22"/>
        </w:rPr>
      </w:pPr>
      <w:r>
        <w:rPr>
          <w:sz w:val="22"/>
        </w:rPr>
        <w:t>Portal</w:t>
      </w:r>
      <w:r>
        <w:rPr>
          <w:spacing w:val="-5"/>
          <w:sz w:val="22"/>
        </w:rPr>
        <w:t> </w:t>
      </w:r>
      <w:hyperlink r:id="rId12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pacing w:val="-5"/>
          <w:sz w:val="22"/>
          <w:u w:val="none"/>
        </w:rPr>
        <w:t> </w:t>
      </w:r>
      <w:r>
        <w:rPr>
          <w:sz w:val="22"/>
          <w:u w:val="none"/>
        </w:rPr>
        <w:t>omogućuje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pristup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otvorenim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podatkovnim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zbirkama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iz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institucija,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tijela i agencija EU-a. Zbirke se mogu besplatno preuzimati i ponovno uporabiti u komercijalne</w:t>
      </w:r>
    </w:p>
    <w:p>
      <w:pPr>
        <w:spacing w:line="290" w:lineRule="auto" w:before="0"/>
        <w:ind w:left="443" w:right="454" w:firstLine="0"/>
        <w:jc w:val="left"/>
        <w:rPr>
          <w:sz w:val="22"/>
        </w:rPr>
      </w:pP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nekomercijalne</w:t>
      </w:r>
      <w:r>
        <w:rPr>
          <w:spacing w:val="-4"/>
          <w:sz w:val="22"/>
        </w:rPr>
        <w:t> </w:t>
      </w:r>
      <w:r>
        <w:rPr>
          <w:sz w:val="22"/>
        </w:rPr>
        <w:t>svrhe.</w:t>
      </w:r>
      <w:r>
        <w:rPr>
          <w:spacing w:val="-4"/>
          <w:sz w:val="22"/>
        </w:rPr>
        <w:t> </w:t>
      </w:r>
      <w:r>
        <w:rPr>
          <w:sz w:val="22"/>
        </w:rPr>
        <w:t>Putem</w:t>
      </w:r>
      <w:r>
        <w:rPr>
          <w:spacing w:val="-4"/>
          <w:sz w:val="22"/>
        </w:rPr>
        <w:t> </w:t>
      </w:r>
      <w:r>
        <w:rPr>
          <w:sz w:val="22"/>
        </w:rPr>
        <w:t>portala</w:t>
      </w:r>
      <w:r>
        <w:rPr>
          <w:spacing w:val="-4"/>
          <w:sz w:val="22"/>
        </w:rPr>
        <w:t> </w:t>
      </w:r>
      <w:r>
        <w:rPr>
          <w:sz w:val="22"/>
        </w:rPr>
        <w:t>moguć</w:t>
      </w:r>
      <w:r>
        <w:rPr>
          <w:spacing w:val="-4"/>
          <w:sz w:val="22"/>
        </w:rPr>
        <w:t> </w:t>
      </w:r>
      <w:r>
        <w:rPr>
          <w:sz w:val="22"/>
        </w:rPr>
        <w:t>je</w:t>
      </w:r>
      <w:r>
        <w:rPr>
          <w:spacing w:val="-4"/>
          <w:sz w:val="22"/>
        </w:rPr>
        <w:t> </w:t>
      </w: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pristup</w:t>
      </w:r>
      <w:r>
        <w:rPr>
          <w:spacing w:val="-4"/>
          <w:sz w:val="22"/>
        </w:rPr>
        <w:t> </w:t>
      </w:r>
      <w:r>
        <w:rPr>
          <w:sz w:val="22"/>
        </w:rPr>
        <w:t>mnoštvu</w:t>
      </w:r>
      <w:r>
        <w:rPr>
          <w:spacing w:val="-4"/>
          <w:sz w:val="22"/>
        </w:rPr>
        <w:t> </w:t>
      </w:r>
      <w:r>
        <w:rPr>
          <w:sz w:val="22"/>
        </w:rPr>
        <w:t>podatkovnih</w:t>
      </w:r>
      <w:r>
        <w:rPr>
          <w:spacing w:val="-4"/>
          <w:sz w:val="22"/>
        </w:rPr>
        <w:t> </w:t>
      </w:r>
      <w:r>
        <w:rPr>
          <w:sz w:val="22"/>
        </w:rPr>
        <w:t>zbirki</w:t>
      </w:r>
      <w:r>
        <w:rPr>
          <w:spacing w:val="-4"/>
          <w:sz w:val="22"/>
        </w:rPr>
        <w:t> </w:t>
      </w:r>
      <w:r>
        <w:rPr>
          <w:sz w:val="22"/>
        </w:rPr>
        <w:t>iz europskih država.</w:t>
      </w:r>
    </w:p>
    <w:sectPr>
      <w:pgSz w:w="11910" w:h="16840"/>
      <w:pgMar w:top="880" w:bottom="280" w:left="86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hr-HR" w:eastAsia="en-US" w:bidi="ar-SA"/>
      </w:rPr>
    </w:lvl>
    <w:lvl w:ilvl="1">
      <w:start w:val="0"/>
      <w:numFmt w:val="bullet"/>
      <w:lvlText w:val="•"/>
      <w:lvlJc w:val="left"/>
      <w:pPr>
        <w:ind w:left="2054" w:hanging="400"/>
      </w:pPr>
      <w:rPr>
        <w:rFonts w:hint="default"/>
        <w:lang w:val="hr-HR" w:eastAsia="en-US" w:bidi="ar-SA"/>
      </w:rPr>
    </w:lvl>
    <w:lvl w:ilvl="2">
      <w:start w:val="0"/>
      <w:numFmt w:val="bullet"/>
      <w:lvlText w:val="•"/>
      <w:lvlJc w:val="left"/>
      <w:pPr>
        <w:ind w:left="2949" w:hanging="400"/>
      </w:pPr>
      <w:rPr>
        <w:rFonts w:hint="default"/>
        <w:lang w:val="hr-HR" w:eastAsia="en-US" w:bidi="ar-SA"/>
      </w:rPr>
    </w:lvl>
    <w:lvl w:ilvl="3">
      <w:start w:val="0"/>
      <w:numFmt w:val="bullet"/>
      <w:lvlText w:val="•"/>
      <w:lvlJc w:val="left"/>
      <w:pPr>
        <w:ind w:left="3844" w:hanging="400"/>
      </w:pPr>
      <w:rPr>
        <w:rFonts w:hint="default"/>
        <w:lang w:val="hr-HR" w:eastAsia="en-US" w:bidi="ar-SA"/>
      </w:rPr>
    </w:lvl>
    <w:lvl w:ilvl="4">
      <w:start w:val="0"/>
      <w:numFmt w:val="bullet"/>
      <w:lvlText w:val="•"/>
      <w:lvlJc w:val="left"/>
      <w:pPr>
        <w:ind w:left="4739" w:hanging="400"/>
      </w:pPr>
      <w:rPr>
        <w:rFonts w:hint="default"/>
        <w:lang w:val="hr-HR" w:eastAsia="en-US" w:bidi="ar-SA"/>
      </w:rPr>
    </w:lvl>
    <w:lvl w:ilvl="5">
      <w:start w:val="0"/>
      <w:numFmt w:val="bullet"/>
      <w:lvlText w:val="•"/>
      <w:lvlJc w:val="left"/>
      <w:pPr>
        <w:ind w:left="5634" w:hanging="400"/>
      </w:pPr>
      <w:rPr>
        <w:rFonts w:hint="default"/>
        <w:lang w:val="hr-HR" w:eastAsia="en-US" w:bidi="ar-SA"/>
      </w:rPr>
    </w:lvl>
    <w:lvl w:ilvl="6">
      <w:start w:val="0"/>
      <w:numFmt w:val="bullet"/>
      <w:lvlText w:val="•"/>
      <w:lvlJc w:val="left"/>
      <w:pPr>
        <w:ind w:left="6529" w:hanging="400"/>
      </w:pPr>
      <w:rPr>
        <w:rFonts w:hint="default"/>
        <w:lang w:val="hr-HR" w:eastAsia="en-US" w:bidi="ar-SA"/>
      </w:rPr>
    </w:lvl>
    <w:lvl w:ilvl="7">
      <w:start w:val="0"/>
      <w:numFmt w:val="bullet"/>
      <w:lvlText w:val="•"/>
      <w:lvlJc w:val="left"/>
      <w:pPr>
        <w:ind w:left="7424" w:hanging="400"/>
      </w:pPr>
      <w:rPr>
        <w:rFonts w:hint="default"/>
        <w:lang w:val="hr-HR" w:eastAsia="en-US" w:bidi="ar-SA"/>
      </w:rPr>
    </w:lvl>
    <w:lvl w:ilvl="8">
      <w:start w:val="0"/>
      <w:numFmt w:val="bullet"/>
      <w:lvlText w:val="•"/>
      <w:lvlJc w:val="left"/>
      <w:pPr>
        <w:ind w:left="8319" w:hanging="400"/>
      </w:pPr>
      <w:rPr>
        <w:rFonts w:hint="default"/>
        <w:lang w:val="hr-HR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hr-HR" w:eastAsia="en-US" w:bidi="ar-SA"/>
      </w:rPr>
    </w:lvl>
    <w:lvl w:ilvl="1">
      <w:start w:val="0"/>
      <w:numFmt w:val="bullet"/>
      <w:lvlText w:val="•"/>
      <w:lvlJc w:val="left"/>
      <w:pPr>
        <w:ind w:left="1802" w:hanging="380"/>
      </w:pPr>
      <w:rPr>
        <w:rFonts w:hint="default"/>
        <w:lang w:val="hr-HR" w:eastAsia="en-US" w:bidi="ar-SA"/>
      </w:rPr>
    </w:lvl>
    <w:lvl w:ilvl="2">
      <w:start w:val="0"/>
      <w:numFmt w:val="bullet"/>
      <w:lvlText w:val="•"/>
      <w:lvlJc w:val="left"/>
      <w:pPr>
        <w:ind w:left="2725" w:hanging="380"/>
      </w:pPr>
      <w:rPr>
        <w:rFonts w:hint="default"/>
        <w:lang w:val="hr-HR" w:eastAsia="en-US" w:bidi="ar-SA"/>
      </w:rPr>
    </w:lvl>
    <w:lvl w:ilvl="3">
      <w:start w:val="0"/>
      <w:numFmt w:val="bullet"/>
      <w:lvlText w:val="•"/>
      <w:lvlJc w:val="left"/>
      <w:pPr>
        <w:ind w:left="3648" w:hanging="380"/>
      </w:pPr>
      <w:rPr>
        <w:rFonts w:hint="default"/>
        <w:lang w:val="hr-HR" w:eastAsia="en-US" w:bidi="ar-SA"/>
      </w:rPr>
    </w:lvl>
    <w:lvl w:ilvl="4">
      <w:start w:val="0"/>
      <w:numFmt w:val="bullet"/>
      <w:lvlText w:val="•"/>
      <w:lvlJc w:val="left"/>
      <w:pPr>
        <w:ind w:left="4571" w:hanging="380"/>
      </w:pPr>
      <w:rPr>
        <w:rFonts w:hint="default"/>
        <w:lang w:val="hr-HR" w:eastAsia="en-US" w:bidi="ar-SA"/>
      </w:rPr>
    </w:lvl>
    <w:lvl w:ilvl="5">
      <w:start w:val="0"/>
      <w:numFmt w:val="bullet"/>
      <w:lvlText w:val="•"/>
      <w:lvlJc w:val="left"/>
      <w:pPr>
        <w:ind w:left="5494" w:hanging="380"/>
      </w:pPr>
      <w:rPr>
        <w:rFonts w:hint="default"/>
        <w:lang w:val="hr-HR" w:eastAsia="en-US" w:bidi="ar-SA"/>
      </w:rPr>
    </w:lvl>
    <w:lvl w:ilvl="6">
      <w:start w:val="0"/>
      <w:numFmt w:val="bullet"/>
      <w:lvlText w:val="•"/>
      <w:lvlJc w:val="left"/>
      <w:pPr>
        <w:ind w:left="6417" w:hanging="380"/>
      </w:pPr>
      <w:rPr>
        <w:rFonts w:hint="default"/>
        <w:lang w:val="hr-HR" w:eastAsia="en-US" w:bidi="ar-SA"/>
      </w:rPr>
    </w:lvl>
    <w:lvl w:ilvl="7">
      <w:start w:val="0"/>
      <w:numFmt w:val="bullet"/>
      <w:lvlText w:val="•"/>
      <w:lvlJc w:val="left"/>
      <w:pPr>
        <w:ind w:left="7340" w:hanging="380"/>
      </w:pPr>
      <w:rPr>
        <w:rFonts w:hint="default"/>
        <w:lang w:val="hr-HR" w:eastAsia="en-US" w:bidi="ar-SA"/>
      </w:rPr>
    </w:lvl>
    <w:lvl w:ilvl="8">
      <w:start w:val="0"/>
      <w:numFmt w:val="bullet"/>
      <w:lvlText w:val="•"/>
      <w:lvlJc w:val="left"/>
      <w:pPr>
        <w:ind w:left="8263" w:hanging="380"/>
      </w:pPr>
      <w:rPr>
        <w:rFonts w:hint="default"/>
        <w:lang w:val="hr-HR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hr-HR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hr-HR" w:eastAsia="en-US" w:bidi="ar-SA"/>
    </w:rPr>
  </w:style>
  <w:style w:styleId="Heading1" w:type="paragraph">
    <w:name w:val="Heading 1"/>
    <w:basedOn w:val="Normal"/>
    <w:uiPriority w:val="1"/>
    <w:qFormat/>
    <w:pPr>
      <w:ind w:left="443"/>
      <w:outlineLvl w:val="1"/>
    </w:pPr>
    <w:rPr>
      <w:rFonts w:ascii="Arial" w:hAnsi="Arial" w:eastAsia="Arial" w:cs="Arial"/>
      <w:b/>
      <w:bCs/>
      <w:sz w:val="24"/>
      <w:szCs w:val="24"/>
      <w:lang w:val="hr-HR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hr-HR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hr-HR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hr-H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style-guide.europa.eu/en/content/-/isg/topic?identifier=5.4.4-other-disclaimers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hr" TargetMode="External"/><Relationship Id="rId8" Type="http://schemas.openxmlformats.org/officeDocument/2006/relationships/hyperlink" Target="https://european-union.europa.eu/contact-eu/write-us_hr" TargetMode="External"/><Relationship Id="rId9" Type="http://schemas.openxmlformats.org/officeDocument/2006/relationships/hyperlink" Target="https://european-union.europa.eu/index_hr" TargetMode="External"/><Relationship Id="rId10" Type="http://schemas.openxmlformats.org/officeDocument/2006/relationships/hyperlink" Target="https://op.europa.eu/hr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hr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HR</dc:title>
  <dcterms:created xsi:type="dcterms:W3CDTF">2025-01-15T12:37:21Z</dcterms:created>
  <dcterms:modified xsi:type="dcterms:W3CDTF">2025-01-15T12:37:21Z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