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00"/>
        <w:jc w:val="center"/>
      </w:pPr>
      <w:bookmarkStart w:name="European Commission – LV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LV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right="357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3574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348" w:lineRule="auto"/>
        <w:ind w:right="4032"/>
      </w:pPr>
      <w:r>
        <w:rPr/>
        <w:t>©</w:t>
      </w:r>
      <w:r>
        <w:rPr>
          <w:spacing w:val="-6"/>
        </w:rPr>
        <w:t> </w:t>
      </w:r>
      <w:r>
        <w:rPr/>
        <w:t>[Eiropas</w:t>
      </w:r>
      <w:r>
        <w:rPr>
          <w:spacing w:val="-6"/>
        </w:rPr>
        <w:t> </w:t>
      </w:r>
      <w:r>
        <w:rPr/>
        <w:t>Savienība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Eiropas</w:t>
      </w:r>
      <w:r>
        <w:rPr>
          <w:spacing w:val="-6"/>
        </w:rPr>
        <w:t> </w:t>
      </w:r>
      <w:r>
        <w:rPr/>
        <w:t>Atomenerģijas</w:t>
      </w:r>
      <w:r>
        <w:rPr>
          <w:spacing w:val="-6"/>
        </w:rPr>
        <w:t> </w:t>
      </w:r>
      <w:r>
        <w:rPr/>
        <w:t>kopiena],</w:t>
      </w:r>
      <w:r>
        <w:rPr>
          <w:spacing w:val="-6"/>
        </w:rPr>
        <w:t> </w:t>
      </w:r>
      <w:r>
        <w:rPr/>
        <w:t>[gadskaitlis]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Savienība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Atomenerģijas</w:t>
      </w:r>
      <w:r>
        <w:rPr>
          <w:spacing w:val="-4"/>
        </w:rPr>
        <w:t> </w:t>
      </w:r>
      <w:r>
        <w:rPr/>
        <w:t>kopiena],</w:t>
      </w:r>
      <w:r>
        <w:rPr>
          <w:spacing w:val="-4"/>
        </w:rPr>
        <w:t> </w:t>
      </w:r>
      <w:r>
        <w:rPr/>
        <w:t>[gadskaitlis].</w:t>
      </w:r>
      <w:r>
        <w:rPr>
          <w:spacing w:val="-4"/>
        </w:rPr>
        <w:t> </w:t>
      </w:r>
      <w:r>
        <w:rPr/>
        <w:t>Daļa</w:t>
      </w:r>
      <w:r>
        <w:rPr>
          <w:spacing w:val="-4"/>
        </w:rPr>
        <w:t> </w:t>
      </w:r>
      <w:r>
        <w:rPr/>
        <w:t>satura</w:t>
      </w:r>
      <w:r>
        <w:rPr>
          <w:spacing w:val="-4"/>
        </w:rPr>
        <w:t> </w:t>
      </w:r>
      <w:r>
        <w:rPr/>
        <w:t>izveidota,</w:t>
      </w:r>
      <w:r>
        <w:rPr>
          <w:spacing w:val="-4"/>
        </w:rPr>
        <w:t> </w:t>
      </w:r>
      <w:r>
        <w:rPr/>
        <w:t>izmantojot</w:t>
      </w:r>
      <w:r>
        <w:rPr>
          <w:spacing w:val="-4"/>
        </w:rPr>
        <w:t> </w:t>
      </w:r>
      <w:r>
        <w:rPr/>
        <w:t>[MI</w:t>
      </w:r>
      <w:r>
        <w:rPr>
          <w:spacing w:val="-4"/>
        </w:rPr>
        <w:t> </w:t>
      </w:r>
      <w:r>
        <w:rPr/>
        <w:t>rīka </w:t>
      </w:r>
      <w:r>
        <w:rPr>
          <w:spacing w:val="-2"/>
        </w:rPr>
        <w:t>nosaukums].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Komisijas</w:t>
      </w:r>
      <w:r>
        <w:rPr>
          <w:spacing w:val="-8"/>
        </w:rPr>
        <w:t> </w:t>
      </w:r>
      <w:r>
        <w:rPr/>
        <w:t>dokumentu</w:t>
      </w:r>
      <w:r>
        <w:rPr>
          <w:spacing w:val="-8"/>
        </w:rPr>
        <w:t> </w:t>
      </w:r>
      <w:r>
        <w:rPr/>
        <w:t>atkalizmantošanas</w:t>
      </w:r>
      <w:r>
        <w:rPr>
          <w:spacing w:val="-8"/>
        </w:rPr>
        <w:t> </w:t>
      </w:r>
      <w:r>
        <w:rPr/>
        <w:t>politiku</w:t>
      </w:r>
      <w:r>
        <w:rPr>
          <w:spacing w:val="-8"/>
        </w:rPr>
        <w:t> </w:t>
      </w:r>
      <w:r>
        <w:rPr/>
        <w:t>īsteno,</w:t>
      </w:r>
      <w:r>
        <w:rPr>
          <w:spacing w:val="-8"/>
        </w:rPr>
        <w:t> </w:t>
      </w:r>
      <w:r>
        <w:rPr/>
        <w:t>pamatojoties</w:t>
      </w:r>
      <w:r>
        <w:rPr>
          <w:spacing w:val="-8"/>
        </w:rPr>
        <w:t> </w:t>
      </w:r>
      <w:r>
        <w:rPr/>
        <w:t>uz</w:t>
      </w:r>
      <w:r>
        <w:rPr>
          <w:spacing w:val="-8"/>
        </w:rPr>
        <w:t> </w:t>
      </w:r>
      <w:r>
        <w:rPr/>
        <w:t>Komisijas</w:t>
      </w:r>
      <w:r>
        <w:rPr>
          <w:spacing w:val="-8"/>
        </w:rPr>
        <w:t> </w:t>
      </w:r>
      <w:r>
        <w:rPr/>
        <w:t>Lēmumu</w:t>
      </w:r>
      <w:r>
        <w:rPr>
          <w:spacing w:val="-8"/>
        </w:rPr>
        <w:t> </w:t>
      </w:r>
      <w:r>
        <w:rPr/>
        <w:t>2011/833/ES</w:t>
      </w:r>
      <w:r>
        <w:rPr>
          <w:spacing w:val="-8"/>
        </w:rPr>
        <w:t> </w:t>
      </w:r>
      <w:r>
        <w:rPr/>
        <w:t>(2011. gada 12. decembris) par Komisijas dokumentu atkalizmantošanu (OV L 330, 14.12.2011., 39. lpp., ELI: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274"/>
        <w:jc w:val="both"/>
      </w:pPr>
      <w:r>
        <w:rPr/>
        <w:t>Ja</w:t>
      </w:r>
      <w:r>
        <w:rPr>
          <w:spacing w:val="-4"/>
        </w:rPr>
        <w:t> </w:t>
      </w:r>
      <w:r>
        <w:rPr/>
        <w:t>vien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norādīts</w:t>
      </w:r>
      <w:r>
        <w:rPr>
          <w:spacing w:val="-4"/>
        </w:rPr>
        <w:t> </w:t>
      </w:r>
      <w:r>
        <w:rPr/>
        <w:t>citādi,</w:t>
      </w:r>
      <w:r>
        <w:rPr>
          <w:spacing w:val="-4"/>
        </w:rPr>
        <w:t> </w:t>
      </w:r>
      <w:r>
        <w:rPr/>
        <w:t>šo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atkalizmantot</w:t>
      </w:r>
      <w:r>
        <w:rPr>
          <w:spacing w:val="-4"/>
        </w:rPr>
        <w:t> </w:t>
      </w:r>
      <w:r>
        <w:rPr/>
        <w:t>atļauts</w:t>
      </w:r>
      <w:r>
        <w:rPr>
          <w:spacing w:val="-4"/>
        </w:rPr>
        <w:t> </w:t>
      </w:r>
      <w:r>
        <w:rPr/>
        <w:t>ar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4"/>
        </w:rPr>
        <w:t> </w:t>
      </w:r>
      <w:r>
        <w:rPr>
          <w:i/>
        </w:rPr>
        <w:t>Commons</w:t>
      </w:r>
      <w:r>
        <w:rPr>
          <w:i/>
          <w:spacing w:val="-4"/>
        </w:rPr>
        <w:t> </w:t>
      </w:r>
      <w:r>
        <w:rPr>
          <w:i/>
        </w:rPr>
        <w:t>Attribution</w:t>
      </w:r>
      <w:r>
        <w:rPr>
          <w:i/>
          <w:spacing w:val="-4"/>
        </w:rPr>
        <w:t> </w:t>
      </w:r>
      <w:r>
        <w:rPr>
          <w:i/>
        </w:rPr>
        <w:t>4.0</w:t>
      </w:r>
      <w:r>
        <w:rPr>
          <w:i/>
          <w:spacing w:val="-4"/>
        </w:rPr>
        <w:t> </w:t>
      </w:r>
      <w:r>
        <w:rPr>
          <w:i/>
        </w:rPr>
        <w:t>International</w:t>
      </w:r>
      <w:r>
        <w:rPr>
          <w:i/>
        </w:rPr>
        <w:t> </w:t>
      </w:r>
      <w:r>
        <w:rPr/>
        <w:t>(CC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4.0)</w:t>
      </w:r>
      <w:r>
        <w:rPr>
          <w:spacing w:val="-1"/>
        </w:rPr>
        <w:t> </w:t>
      </w:r>
      <w:r>
        <w:rPr/>
        <w:t>licenci</w:t>
      </w:r>
      <w:r>
        <w:rPr>
          <w:spacing w:val="-1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1"/>
          <w:u w:val="none"/>
        </w:rPr>
        <w:t> </w:t>
      </w:r>
      <w:r>
        <w:rPr>
          <w:u w:val="none"/>
        </w:rPr>
        <w:t>Tas</w:t>
      </w:r>
      <w:r>
        <w:rPr>
          <w:spacing w:val="-1"/>
          <w:u w:val="none"/>
        </w:rPr>
        <w:t> </w:t>
      </w:r>
      <w:r>
        <w:rPr>
          <w:u w:val="none"/>
        </w:rPr>
        <w:t>nozīmē,</w:t>
      </w:r>
      <w:r>
        <w:rPr>
          <w:spacing w:val="-1"/>
          <w:u w:val="none"/>
        </w:rPr>
        <w:t> </w:t>
      </w:r>
      <w:r>
        <w:rPr>
          <w:u w:val="none"/>
        </w:rPr>
        <w:t>ka</w:t>
      </w:r>
      <w:r>
        <w:rPr>
          <w:spacing w:val="-1"/>
          <w:u w:val="none"/>
        </w:rPr>
        <w:t> </w:t>
      </w:r>
      <w:r>
        <w:rPr>
          <w:u w:val="none"/>
        </w:rPr>
        <w:t>ir</w:t>
      </w:r>
      <w:r>
        <w:rPr>
          <w:spacing w:val="-1"/>
          <w:u w:val="none"/>
        </w:rPr>
        <w:t> </w:t>
      </w:r>
      <w:r>
        <w:rPr>
          <w:u w:val="none"/>
        </w:rPr>
        <w:t>atļauta</w:t>
      </w:r>
      <w:r>
        <w:rPr>
          <w:spacing w:val="-1"/>
          <w:u w:val="none"/>
        </w:rPr>
        <w:t> </w:t>
      </w:r>
      <w:r>
        <w:rPr>
          <w:u w:val="none"/>
        </w:rPr>
        <w:t>atkalizmantošana</w:t>
      </w:r>
      <w:r>
        <w:rPr>
          <w:spacing w:val="-1"/>
          <w:u w:val="none"/>
        </w:rPr>
        <w:t> </w:t>
      </w:r>
      <w:r>
        <w:rPr>
          <w:u w:val="none"/>
        </w:rPr>
        <w:t>ar pienācīgu atsaukšanos uz dokumentu un norādēm uz grozījumiem.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67" w:hanging="380"/>
        <w:jc w:val="left"/>
        <w:rPr>
          <w:sz w:val="20"/>
        </w:rPr>
      </w:pPr>
      <w:r>
        <w:rPr>
          <w:sz w:val="20"/>
        </w:rPr>
        <w:t>xx.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48" w:firstLine="0"/>
        <w:jc w:val="left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> </w:t>
      </w:r>
      <w:r>
        <w:rPr>
          <w:sz w:val="18"/>
        </w:rPr>
        <w:t>izmantot</w:t>
      </w:r>
      <w:r>
        <w:rPr>
          <w:spacing w:val="-4"/>
          <w:sz w:val="18"/>
        </w:rPr>
        <w:t> </w:t>
      </w:r>
      <w:r>
        <w:rPr>
          <w:sz w:val="18"/>
        </w:rPr>
        <w:t>citur,</w:t>
      </w:r>
      <w:r>
        <w:rPr>
          <w:spacing w:val="-4"/>
          <w:sz w:val="18"/>
        </w:rPr>
        <w:t> </w:t>
      </w:r>
      <w:r>
        <w:rPr>
          <w:sz w:val="18"/>
        </w:rPr>
        <w:t>norādot</w:t>
      </w:r>
      <w:r>
        <w:rPr>
          <w:spacing w:val="-4"/>
          <w:sz w:val="18"/>
        </w:rPr>
        <w:t> </w:t>
      </w:r>
      <w:r>
        <w:rPr>
          <w:sz w:val="18"/>
        </w:rPr>
        <w:t>avotu</w:t>
      </w:r>
      <w:r>
        <w:rPr>
          <w:spacing w:val="-4"/>
          <w:sz w:val="18"/>
        </w:rPr>
        <w:t> </w:t>
      </w:r>
      <w:r>
        <w:rPr>
          <w:sz w:val="18"/>
        </w:rPr>
        <w:t>un</w:t>
      </w:r>
      <w:r>
        <w:rPr>
          <w:spacing w:val="-4"/>
          <w:sz w:val="18"/>
        </w:rPr>
        <w:t> </w:t>
      </w:r>
      <w:r>
        <w:rPr>
          <w:sz w:val="18"/>
        </w:rPr>
        <w:t>nemainot</w:t>
      </w:r>
      <w:r>
        <w:rPr>
          <w:spacing w:val="-4"/>
          <w:sz w:val="18"/>
        </w:rPr>
        <w:t> </w:t>
      </w:r>
      <w:r>
        <w:rPr>
          <w:sz w:val="18"/>
        </w:rPr>
        <w:t>dokumentu</w:t>
      </w:r>
      <w:r>
        <w:rPr>
          <w:spacing w:val="-4"/>
          <w:sz w:val="18"/>
        </w:rPr>
        <w:t> </w:t>
      </w:r>
      <w:r>
        <w:rPr>
          <w:sz w:val="18"/>
        </w:rPr>
        <w:t>satura</w:t>
      </w:r>
      <w:r>
        <w:rPr>
          <w:spacing w:val="-4"/>
          <w:sz w:val="18"/>
        </w:rPr>
        <w:t> </w:t>
      </w:r>
      <w:r>
        <w:rPr>
          <w:sz w:val="18"/>
        </w:rPr>
        <w:t>sākotnējo</w:t>
      </w:r>
      <w:r>
        <w:rPr>
          <w:spacing w:val="-4"/>
          <w:sz w:val="18"/>
        </w:rPr>
        <w:t> </w:t>
      </w:r>
      <w:r>
        <w:rPr>
          <w:sz w:val="18"/>
        </w:rPr>
        <w:t>nozīmi.</w:t>
      </w:r>
      <w:r>
        <w:rPr>
          <w:spacing w:val="-4"/>
          <w:sz w:val="18"/>
        </w:rPr>
        <w:t> </w:t>
      </w:r>
      <w:r>
        <w:rPr>
          <w:sz w:val="18"/>
        </w:rPr>
        <w:t>Eiropas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nav</w:t>
      </w:r>
      <w:r>
        <w:rPr>
          <w:spacing w:val="-4"/>
          <w:sz w:val="18"/>
        </w:rPr>
        <w:t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(2011. gada 12. decembris) par Komisijas dokumentu atkalizmantošanu (OV L 330, 14.12.2011., 39. lpp.,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4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2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358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41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02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63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85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46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07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56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53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50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47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4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41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38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35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28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17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06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95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3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62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51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LV</dc:title>
  <dcterms:created xsi:type="dcterms:W3CDTF">2025-05-21T07:40:28Z</dcterms:created>
  <dcterms:modified xsi:type="dcterms:W3CDTF">2025-05-21T07:40:28Z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