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ES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ES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60" w:lineRule="atLeast"/>
        <w:ind w:right="3658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632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4"/>
        </w:rPr>
        <w:t> </w:t>
      </w:r>
      <w:r>
        <w:rPr/>
        <w:t>Europea. Luxemburgo: Oficina de Publicaciones de la Unión Europea, [año]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Unión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[año]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436"/>
      </w:pPr>
      <w:r>
        <w:rPr/>
        <w:t>La política de reutilización de la Comisión se rige por la Decisión 2011/833/UE de la Comisión, de 12 de diciembre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reutilización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los</w:t>
      </w:r>
      <w:r>
        <w:rPr>
          <w:spacing w:val="-5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Comisión</w:t>
      </w:r>
      <w:r>
        <w:rPr>
          <w:spacing w:val="-5"/>
        </w:rPr>
        <w:t> </w:t>
      </w:r>
      <w:r>
        <w:rPr/>
        <w:t>(DO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Salvo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indique</w:t>
      </w:r>
      <w:r>
        <w:rPr>
          <w:spacing w:val="-3"/>
        </w:rPr>
        <w:t> </w:t>
      </w:r>
      <w:r>
        <w:rPr/>
        <w:t>otra</w:t>
      </w:r>
      <w:r>
        <w:rPr>
          <w:spacing w:val="-3"/>
        </w:rPr>
        <w:t> </w:t>
      </w:r>
      <w:r>
        <w:rPr/>
        <w:t>cosa,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está</w:t>
      </w:r>
      <w:r>
        <w:rPr>
          <w:spacing w:val="-3"/>
        </w:rPr>
        <w:t> </w:t>
      </w:r>
      <w:r>
        <w:rPr/>
        <w:t>autorizada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virtud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licencia 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</w:p>
    <w:p>
      <w:pPr>
        <w:pStyle w:val="BodyText"/>
        <w:spacing w:line="244" w:lineRule="auto"/>
        <w:ind w:right="436"/>
      </w:pPr>
      <w:r>
        <w:rPr/>
        <w:t>Esto</w:t>
      </w:r>
      <w:r>
        <w:rPr>
          <w:spacing w:val="-3"/>
        </w:rPr>
        <w:t> </w:t>
      </w:r>
      <w:r>
        <w:rPr/>
        <w:t>significa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permite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siempre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fuente</w:t>
      </w:r>
      <w:r>
        <w:rPr>
          <w:spacing w:val="-3"/>
        </w:rPr>
        <w:t> </w:t>
      </w:r>
      <w:r>
        <w:rPr/>
        <w:t>esté</w:t>
      </w:r>
      <w:r>
        <w:rPr>
          <w:spacing w:val="-3"/>
        </w:rPr>
        <w:t> </w:t>
      </w:r>
      <w:r>
        <w:rPr/>
        <w:t>adecuadamente</w:t>
      </w:r>
      <w:r>
        <w:rPr>
          <w:spacing w:val="-3"/>
        </w:rPr>
        <w:t> </w:t>
      </w:r>
      <w:r>
        <w:rPr/>
        <w:t>identificada</w:t>
      </w:r>
      <w:r>
        <w:rPr>
          <w:spacing w:val="-3"/>
        </w:rPr>
        <w:t> </w:t>
      </w:r>
      <w:r>
        <w:rPr/>
        <w:t>y</w:t>
      </w:r>
      <w:r>
        <w:rPr>
          <w:spacing w:val="-3"/>
        </w:rPr>
        <w:t> </w:t>
      </w:r>
      <w:r>
        <w:rPr/>
        <w:t>se indique cualquier cambio.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 cualquier uso o reproducción de elementos que no sean propiedad de la Unión Europea, podrá ser necesario</w:t>
      </w:r>
      <w:r>
        <w:rPr>
          <w:spacing w:val="-3"/>
        </w:rPr>
        <w:t> </w:t>
      </w:r>
      <w:r>
        <w:rPr/>
        <w:t>solicitar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autorización</w:t>
      </w:r>
      <w:r>
        <w:rPr>
          <w:spacing w:val="-3"/>
        </w:rPr>
        <w:t> </w:t>
      </w:r>
      <w:r>
        <w:rPr/>
        <w:t>directamente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respectivos</w:t>
      </w:r>
      <w:r>
        <w:rPr>
          <w:spacing w:val="-3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derechos.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93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5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139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afectado],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ejemplo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enlace a la licencia];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 necesario solicitar la autorización directamente de los respectivos titulares de derechos.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0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Unión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Europea,</w:t>
      </w:r>
      <w:r>
        <w:rPr>
          <w:rFonts w:ascii="Gill Sans MT" w:hAnsi="Gill Sans MT"/>
          <w:spacing w:val="-10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[año]</w:t>
      </w:r>
    </w:p>
    <w:p>
      <w:pPr>
        <w:spacing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autorizada,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indicación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fuente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bibliográfica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y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sin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deformar,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ningún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caso,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</w:t>
      </w:r>
      <w:r>
        <w:rPr>
          <w:rFonts w:ascii="Gill Sans MT" w:hAnsi="Gill Sans MT"/>
          <w:spacing w:val="-9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contenido</w:t>
      </w:r>
    </w:p>
    <w:p>
      <w:pPr>
        <w:spacing w:line="268" w:lineRule="auto" w:before="25"/>
        <w:ind w:left="460" w:right="23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o significado original de este documento. La Comisión Europea no es responsable de las consecuencias que pudieran derivarse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esta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publicación.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política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Comisión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Europea se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rige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Decisión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Comisión,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diciembre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reutilización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los documentos de la Comisión (DO L 330 de 14.12.2011, p. 39,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0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7"/>
        <w:ind w:left="443" w:right="436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6"/>
        <w:ind w:left="443" w:right="43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sus</w:t>
      </w:r>
      <w:r>
        <w:rPr>
          <w:spacing w:val="-4"/>
          <w:sz w:val="22"/>
        </w:rPr>
        <w:t> </w:t>
      </w:r>
      <w:r>
        <w:rPr>
          <w:sz w:val="22"/>
        </w:rPr>
        <w:t>preguntas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Puede acceder a él: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71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 por las llamadas);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7"/>
        <w:ind w:left="443" w:right="632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encontrar</w:t>
      </w:r>
      <w:r>
        <w:rPr>
          <w:spacing w:val="-4"/>
          <w:sz w:val="22"/>
        </w:rPr>
        <w:t> </w:t>
      </w:r>
      <w:r>
        <w:rPr>
          <w:sz w:val="22"/>
        </w:rPr>
        <w:t>información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Unión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lenguas</w:t>
      </w:r>
      <w:r>
        <w:rPr>
          <w:spacing w:val="-4"/>
          <w:sz w:val="22"/>
        </w:rPr>
        <w:t> </w:t>
      </w:r>
      <w:r>
        <w:rPr>
          <w:sz w:val="22"/>
        </w:rPr>
        <w:t>oficiales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 Unión en el sitio web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op.europa.eu/es/publications</w:t>
        </w:r>
      </w:hyperlink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desea</w:t>
      </w:r>
      <w:r>
        <w:rPr>
          <w:spacing w:val="-4"/>
          <w:sz w:val="22"/>
        </w:rPr>
        <w:t> </w:t>
      </w:r>
      <w:r>
        <w:rPr>
          <w:sz w:val="22"/>
        </w:rPr>
        <w:t>obtener</w:t>
      </w:r>
      <w:r>
        <w:rPr>
          <w:spacing w:val="-4"/>
          <w:sz w:val="22"/>
        </w:rPr>
        <w:t> </w:t>
      </w:r>
      <w:r>
        <w:rPr>
          <w:sz w:val="22"/>
        </w:rPr>
        <w:t>varios</w:t>
      </w:r>
      <w:r>
        <w:rPr>
          <w:spacing w:val="-4"/>
          <w:sz w:val="22"/>
        </w:rPr>
        <w:t> </w:t>
      </w:r>
      <w:r>
        <w:rPr>
          <w:sz w:val="22"/>
        </w:rPr>
        <w:t>ejemplares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publicaciones</w:t>
      </w:r>
      <w:r>
        <w:rPr>
          <w:spacing w:val="-4"/>
          <w:sz w:val="22"/>
        </w:rPr>
        <w:t> </w:t>
      </w:r>
      <w:r>
        <w:rPr>
          <w:sz w:val="22"/>
        </w:rPr>
        <w:t>gratuitas,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contactar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4"/>
          <w:sz w:val="22"/>
        </w:rPr>
        <w:t> </w:t>
      </w:r>
      <w:r>
        <w:rPr>
          <w:sz w:val="22"/>
        </w:rPr>
        <w:t>Europe Direct o con su centro de documentación local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us_es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251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7"/>
        <w:ind w:left="443" w:right="436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 órganos y organismos de la Unión Europea, que pueden descargarse y reutilizarse gratuitamente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tanto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para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fines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comerciales.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El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también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permite acceder a un gran número de conjuntos de datos procedentes de los países europeos.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6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3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330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87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01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15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15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s" TargetMode="External"/><Relationship Id="rId11" Type="http://schemas.openxmlformats.org/officeDocument/2006/relationships/hyperlink" Target="https://european-union.europa.eu/contact-eu/write-us_es" TargetMode="External"/><Relationship Id="rId12" Type="http://schemas.openxmlformats.org/officeDocument/2006/relationships/hyperlink" Target="https://european-union.europa.eu/index_es" TargetMode="External"/><Relationship Id="rId13" Type="http://schemas.openxmlformats.org/officeDocument/2006/relationships/hyperlink" Target="https://op.europa.eu/e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ES</dc:title>
  <dcterms:created xsi:type="dcterms:W3CDTF">2025-01-15T14:08:10Z</dcterms:created>
  <dcterms:modified xsi:type="dcterms:W3CDTF">2025-01-15T14:08:10Z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