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an Union executive agencies – E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ET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Käsikiri</w:t>
      </w:r>
      <w:r>
        <w:rPr>
          <w:spacing w:val="-5"/>
        </w:rPr>
        <w:t> </w:t>
      </w:r>
      <w:r>
        <w:rPr/>
        <w:t>valmis</w:t>
      </w:r>
      <w:r>
        <w:rPr>
          <w:spacing w:val="-5"/>
        </w:rPr>
        <w:t> </w:t>
      </w:r>
      <w:r>
        <w:rPr/>
        <w:t>[kuu]</w:t>
      </w:r>
      <w:r>
        <w:rPr>
          <w:spacing w:val="-4"/>
        </w:rPr>
        <w:t> </w:t>
      </w:r>
      <w:r>
        <w:rPr>
          <w:spacing w:val="-2"/>
        </w:rPr>
        <w:t>[aasta]</w:t>
      </w:r>
    </w:p>
    <w:p>
      <w:pPr>
        <w:pStyle w:val="BodyText"/>
        <w:spacing w:line="540" w:lineRule="atLeast"/>
        <w:ind w:right="4365"/>
      </w:pPr>
      <w:r>
        <w:rPr/>
        <w:t>Muudetud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Parandatud</w:t>
      </w:r>
      <w:r>
        <w:rPr>
          <w:spacing w:val="-6"/>
        </w:rPr>
        <w:t> </w:t>
      </w:r>
      <w:r>
        <w:rPr/>
        <w:t>väljaanne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1./2./n.</w:t>
      </w:r>
      <w:r>
        <w:rPr>
          <w:spacing w:val="-6"/>
        </w:rPr>
        <w:t> </w:t>
      </w:r>
      <w:r>
        <w:rPr/>
        <w:t>väljaanne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932"/>
      </w:pPr>
      <w:r>
        <w:rPr/>
        <w:t>Käesolev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ei</w:t>
      </w:r>
      <w:r>
        <w:rPr>
          <w:spacing w:val="-6"/>
        </w:rPr>
        <w:t> </w:t>
      </w:r>
      <w:r>
        <w:rPr/>
        <w:t>kajasta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Komisjoni</w:t>
      </w:r>
      <w:r>
        <w:rPr>
          <w:spacing w:val="-6"/>
        </w:rPr>
        <w:t> </w:t>
      </w:r>
      <w:r>
        <w:rPr/>
        <w:t>ametlikku</w:t>
      </w:r>
      <w:r>
        <w:rPr>
          <w:spacing w:val="-6"/>
        </w:rPr>
        <w:t> </w:t>
      </w:r>
      <w:r>
        <w:rPr/>
        <w:t>seisukohta. Luxembourg: Euroopa Liidu Väljaannete Talitus, [aasta]</w:t>
      </w:r>
    </w:p>
    <w:p>
      <w:pPr>
        <w:pStyle w:val="BodyText"/>
        <w:spacing w:line="229" w:lineRule="exact"/>
      </w:pPr>
      <w:r>
        <w:rPr/>
        <w:t>©</w:t>
      </w:r>
      <w:r>
        <w:rPr>
          <w:spacing w:val="-7"/>
        </w:rPr>
        <w:t> </w:t>
      </w:r>
      <w:r>
        <w:rPr/>
        <w:t>[Rakendusamet],</w:t>
      </w:r>
      <w:r>
        <w:rPr>
          <w:spacing w:val="-7"/>
        </w:rPr>
        <w:t> </w:t>
      </w:r>
      <w:r>
        <w:rPr>
          <w:spacing w:val="-2"/>
        </w:rPr>
        <w:t>[aasta]</w:t>
      </w:r>
    </w:p>
    <w:p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right="436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2336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[Rakendusamet],</w:t>
      </w:r>
      <w:r>
        <w:rPr>
          <w:spacing w:val="-5"/>
        </w:rPr>
        <w:t> </w:t>
      </w:r>
      <w:r>
        <w:rPr/>
        <w:t>[aasta].</w:t>
      </w:r>
      <w:r>
        <w:rPr>
          <w:spacing w:val="-5"/>
        </w:rPr>
        <w:t> </w:t>
      </w:r>
      <w:r>
        <w:rPr/>
        <w:t>Osa</w:t>
      </w:r>
      <w:r>
        <w:rPr>
          <w:spacing w:val="-5"/>
        </w:rPr>
        <w:t> </w:t>
      </w:r>
      <w:r>
        <w:rPr/>
        <w:t>sisust</w:t>
      </w:r>
      <w:r>
        <w:rPr>
          <w:spacing w:val="-5"/>
        </w:rPr>
        <w:t> </w:t>
      </w:r>
      <w:r>
        <w:rPr/>
        <w:t>loodi</w:t>
      </w:r>
      <w:r>
        <w:rPr>
          <w:spacing w:val="-5"/>
        </w:rPr>
        <w:t> </w:t>
      </w:r>
      <w:r>
        <w:rPr/>
        <w:t>[TI</w:t>
      </w:r>
      <w:r>
        <w:rPr>
          <w:spacing w:val="-5"/>
        </w:rPr>
        <w:t> </w:t>
      </w:r>
      <w:r>
        <w:rPr/>
        <w:t>tööriista</w:t>
      </w:r>
      <w:r>
        <w:rPr>
          <w:spacing w:val="-5"/>
        </w:rPr>
        <w:t> </w:t>
      </w:r>
      <w:r>
        <w:rPr/>
        <w:t>nimi]</w:t>
      </w:r>
      <w:r>
        <w:rPr>
          <w:spacing w:val="-5"/>
        </w:rPr>
        <w:t> </w:t>
      </w:r>
      <w:r>
        <w:rPr/>
        <w:t>abil.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before="1"/>
      </w:pPr>
      <w:r>
        <w:rPr/>
        <w:t>Rakendusametid</w:t>
      </w:r>
      <w:r>
        <w:rPr>
          <w:spacing w:val="-10"/>
        </w:rPr>
        <w:t> </w:t>
      </w:r>
      <w:r>
        <w:rPr/>
        <w:t>kohaldavad</w:t>
      </w:r>
      <w:r>
        <w:rPr>
          <w:spacing w:val="-9"/>
        </w:rPr>
        <w:t> </w:t>
      </w:r>
      <w:r>
        <w:rPr/>
        <w:t>komisjoni</w:t>
      </w:r>
      <w:r>
        <w:rPr>
          <w:spacing w:val="-9"/>
        </w:rPr>
        <w:t> </w:t>
      </w:r>
      <w:r>
        <w:rPr/>
        <w:t>dokumentide</w:t>
      </w:r>
      <w:r>
        <w:rPr>
          <w:spacing w:val="-9"/>
        </w:rPr>
        <w:t> </w:t>
      </w:r>
      <w:r>
        <w:rPr/>
        <w:t>taaskasutamise</w:t>
      </w:r>
      <w:r>
        <w:rPr>
          <w:spacing w:val="-10"/>
        </w:rPr>
        <w:t> </w:t>
      </w:r>
      <w:r>
        <w:rPr/>
        <w:t>põhimõtteid,</w:t>
      </w:r>
      <w:r>
        <w:rPr>
          <w:spacing w:val="-9"/>
        </w:rPr>
        <w:t> </w:t>
      </w:r>
      <w:r>
        <w:rPr/>
        <w:t>mis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sätestatud</w:t>
      </w:r>
      <w:r>
        <w:rPr>
          <w:spacing w:val="-9"/>
        </w:rPr>
        <w:t> </w:t>
      </w:r>
      <w:r>
        <w:rPr>
          <w:spacing w:val="-2"/>
        </w:rPr>
        <w:t>komisjoni</w:t>
      </w:r>
    </w:p>
    <w:p>
      <w:pPr>
        <w:pStyle w:val="BodyText"/>
        <w:spacing w:line="244" w:lineRule="auto" w:before="4"/>
        <w:ind w:right="454"/>
      </w:pPr>
      <w:r>
        <w:rPr/>
        <w:t>12.</w:t>
      </w:r>
      <w:r>
        <w:rPr>
          <w:spacing w:val="-8"/>
        </w:rPr>
        <w:t> </w:t>
      </w:r>
      <w:r>
        <w:rPr/>
        <w:t>detsembri</w:t>
      </w:r>
      <w:r>
        <w:rPr>
          <w:spacing w:val="-8"/>
        </w:rPr>
        <w:t> </w:t>
      </w:r>
      <w:r>
        <w:rPr/>
        <w:t>2011.</w:t>
      </w:r>
      <w:r>
        <w:rPr>
          <w:spacing w:val="-8"/>
        </w:rPr>
        <w:t> </w:t>
      </w:r>
      <w:r>
        <w:rPr/>
        <w:t>aasta</w:t>
      </w:r>
      <w:r>
        <w:rPr>
          <w:spacing w:val="-8"/>
        </w:rPr>
        <w:t> </w:t>
      </w:r>
      <w:r>
        <w:rPr/>
        <w:t>otsuses</w:t>
      </w:r>
      <w:r>
        <w:rPr>
          <w:spacing w:val="-8"/>
        </w:rPr>
        <w:t> </w:t>
      </w:r>
      <w:r>
        <w:rPr/>
        <w:t>2011/833/EL</w:t>
      </w:r>
      <w:r>
        <w:rPr>
          <w:spacing w:val="-8"/>
        </w:rPr>
        <w:t> </w:t>
      </w:r>
      <w:r>
        <w:rPr/>
        <w:t>komisjoni</w:t>
      </w:r>
      <w:r>
        <w:rPr>
          <w:spacing w:val="-8"/>
        </w:rPr>
        <w:t> </w:t>
      </w:r>
      <w:r>
        <w:rPr/>
        <w:t>dokumentide</w:t>
      </w:r>
      <w:r>
        <w:rPr>
          <w:spacing w:val="-8"/>
        </w:rPr>
        <w:t> </w:t>
      </w:r>
      <w:r>
        <w:rPr/>
        <w:t>taaskasutamise</w:t>
      </w:r>
      <w:r>
        <w:rPr>
          <w:spacing w:val="-8"/>
        </w:rPr>
        <w:t> </w:t>
      </w:r>
      <w:r>
        <w:rPr/>
        <w:t>kohta</w:t>
      </w:r>
      <w:r>
        <w:rPr>
          <w:spacing w:val="-8"/>
        </w:rPr>
        <w:t> </w:t>
      </w:r>
      <w:r>
        <w:rPr/>
        <w:t>(ELT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 14.12.2011, lk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right="454"/>
      </w:pPr>
      <w:r>
        <w:rPr/>
        <w:t>Kui ei ole märgitud teisiti, on käesoleva dokumendi taaskasutamine lubatud litsentsi Creative Commons 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alusel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See</w:t>
      </w:r>
      <w:r>
        <w:rPr>
          <w:spacing w:val="-5"/>
          <w:u w:val="none"/>
        </w:rPr>
        <w:t> </w:t>
      </w:r>
      <w:r>
        <w:rPr>
          <w:u w:val="none"/>
        </w:rPr>
        <w:t>tähendab,</w:t>
      </w:r>
      <w:r>
        <w:rPr>
          <w:spacing w:val="-5"/>
          <w:u w:val="none"/>
        </w:rPr>
        <w:t> </w:t>
      </w:r>
      <w:r>
        <w:rPr>
          <w:u w:val="none"/>
        </w:rPr>
        <w:t>et taaskasutamine on lubatud, kui on viidatud allikale ja märgitud kõik muudatused.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Euroopa</w:t>
      </w:r>
      <w:r>
        <w:rPr>
          <w:spacing w:val="-3"/>
        </w:rPr>
        <w:t> </w:t>
      </w:r>
      <w:r>
        <w:rPr/>
        <w:t>Liidule,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 õiguste omajalt. Euroopa Liidul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46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</w:t>
      </w:r>
      <w:r>
        <w:rPr>
          <w:spacing w:val="-2"/>
          <w:sz w:val="20"/>
        </w:rPr>
        <w:t>litsentsile]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lliste</w:t>
      </w:r>
      <w:r>
        <w:rPr>
          <w:spacing w:val="-3"/>
        </w:rPr>
        <w:t> </w:t>
      </w:r>
      <w:r>
        <w:rPr/>
        <w:t>elementide</w:t>
      </w:r>
      <w:r>
        <w:rPr>
          <w:spacing w:val="-3"/>
        </w:rPr>
        <w:t> </w:t>
      </w:r>
      <w:r>
        <w:rPr/>
        <w:t>kasutamiseks</w:t>
      </w:r>
      <w:r>
        <w:rPr>
          <w:spacing w:val="-3"/>
        </w:rPr>
        <w:t> </w:t>
      </w:r>
      <w:r>
        <w:rPr/>
        <w:t>või</w:t>
      </w:r>
      <w:r>
        <w:rPr>
          <w:spacing w:val="-3"/>
        </w:rPr>
        <w:t> </w:t>
      </w:r>
      <w:r>
        <w:rPr/>
        <w:t>paljundamiseks,</w:t>
      </w:r>
      <w:r>
        <w:rPr>
          <w:spacing w:val="-3"/>
        </w:rPr>
        <w:t> </w:t>
      </w:r>
      <w:r>
        <w:rPr/>
        <w:t>mis</w:t>
      </w:r>
      <w:r>
        <w:rPr>
          <w:spacing w:val="-3"/>
        </w:rPr>
        <w:t> </w:t>
      </w:r>
      <w:r>
        <w:rPr/>
        <w:t>ei</w:t>
      </w:r>
      <w:r>
        <w:rPr>
          <w:spacing w:val="-3"/>
        </w:rPr>
        <w:t> </w:t>
      </w:r>
      <w:r>
        <w:rPr/>
        <w:t>kuulu</w:t>
      </w:r>
      <w:r>
        <w:rPr>
          <w:spacing w:val="-3"/>
        </w:rPr>
        <w:t> </w:t>
      </w:r>
      <w:r>
        <w:rPr/>
        <w:t>Euroopa</w:t>
      </w:r>
      <w:r>
        <w:rPr>
          <w:spacing w:val="-3"/>
        </w:rPr>
        <w:t> </w:t>
      </w:r>
      <w:r>
        <w:rPr/>
        <w:t>Liidule,</w:t>
      </w:r>
      <w:r>
        <w:rPr>
          <w:spacing w:val="-3"/>
        </w:rPr>
        <w:t> </w:t>
      </w:r>
      <w:r>
        <w:rPr/>
        <w:t>võib</w:t>
      </w:r>
      <w:r>
        <w:rPr>
          <w:spacing w:val="-3"/>
        </w:rPr>
        <w:t> </w:t>
      </w:r>
      <w:r>
        <w:rPr/>
        <w:t>olla</w:t>
      </w:r>
      <w:r>
        <w:rPr>
          <w:spacing w:val="-3"/>
        </w:rPr>
        <w:t> </w:t>
      </w:r>
      <w:r>
        <w:rPr/>
        <w:t>vaja</w:t>
      </w:r>
      <w:r>
        <w:rPr>
          <w:spacing w:val="-3"/>
        </w:rPr>
        <w:t> </w:t>
      </w:r>
      <w:r>
        <w:rPr/>
        <w:t>taotleda</w:t>
      </w:r>
      <w:r>
        <w:rPr>
          <w:spacing w:val="-3"/>
        </w:rPr>
        <w:t> </w:t>
      </w:r>
      <w:r>
        <w:rPr/>
        <w:t>luba</w:t>
      </w:r>
      <w:r>
        <w:rPr>
          <w:spacing w:val="-3"/>
        </w:rPr>
        <w:t> </w:t>
      </w:r>
      <w:r>
        <w:rPr/>
        <w:t>otse õiguste omajalt.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Taaskasutamine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lubatud</w:t>
      </w:r>
      <w:r>
        <w:rPr>
          <w:spacing w:val="-5"/>
          <w:sz w:val="18"/>
        </w:rPr>
        <w:t> </w:t>
      </w:r>
      <w:r>
        <w:rPr>
          <w:sz w:val="18"/>
        </w:rPr>
        <w:t>tingimusel,</w:t>
      </w:r>
      <w:r>
        <w:rPr>
          <w:spacing w:val="-5"/>
          <w:sz w:val="18"/>
        </w:rPr>
        <w:t> </w:t>
      </w:r>
      <w:r>
        <w:rPr>
          <w:sz w:val="18"/>
        </w:rPr>
        <w:t>et</w:t>
      </w:r>
      <w:r>
        <w:rPr>
          <w:spacing w:val="-5"/>
          <w:sz w:val="18"/>
        </w:rPr>
        <w:t> </w:t>
      </w:r>
      <w:r>
        <w:rPr>
          <w:sz w:val="18"/>
        </w:rPr>
        <w:t>viidatakse</w:t>
      </w:r>
      <w:r>
        <w:rPr>
          <w:spacing w:val="-5"/>
          <w:sz w:val="18"/>
        </w:rPr>
        <w:t> </w:t>
      </w:r>
      <w:r>
        <w:rPr>
          <w:sz w:val="18"/>
        </w:rPr>
        <w:t>allikale</w:t>
      </w:r>
      <w:r>
        <w:rPr>
          <w:spacing w:val="-5"/>
          <w:sz w:val="18"/>
        </w:rPr>
        <w:t> </w:t>
      </w:r>
      <w:r>
        <w:rPr>
          <w:sz w:val="18"/>
        </w:rPr>
        <w:t>ja</w:t>
      </w:r>
      <w:r>
        <w:rPr>
          <w:spacing w:val="-5"/>
          <w:sz w:val="18"/>
        </w:rPr>
        <w:t> </w:t>
      </w:r>
      <w:r>
        <w:rPr>
          <w:sz w:val="18"/>
        </w:rPr>
        <w:t>dokumendi</w:t>
      </w:r>
      <w:r>
        <w:rPr>
          <w:spacing w:val="-5"/>
          <w:sz w:val="18"/>
        </w:rPr>
        <w:t> </w:t>
      </w:r>
      <w:r>
        <w:rPr>
          <w:sz w:val="18"/>
        </w:rPr>
        <w:t>algne</w:t>
      </w:r>
      <w:r>
        <w:rPr>
          <w:spacing w:val="-5"/>
          <w:sz w:val="18"/>
        </w:rPr>
        <w:t> </w:t>
      </w:r>
      <w:r>
        <w:rPr>
          <w:sz w:val="18"/>
        </w:rPr>
        <w:t>tähendus</w:t>
      </w:r>
      <w:r>
        <w:rPr>
          <w:spacing w:val="-5"/>
          <w:sz w:val="18"/>
        </w:rPr>
        <w:t> </w:t>
      </w:r>
      <w:r>
        <w:rPr>
          <w:sz w:val="18"/>
        </w:rPr>
        <w:t>ega</w:t>
      </w:r>
      <w:r>
        <w:rPr>
          <w:spacing w:val="-5"/>
          <w:sz w:val="18"/>
        </w:rPr>
        <w:t> </w:t>
      </w:r>
      <w:r>
        <w:rPr>
          <w:sz w:val="18"/>
        </w:rPr>
        <w:t>sõnum</w:t>
      </w:r>
      <w:r>
        <w:rPr>
          <w:spacing w:val="-5"/>
          <w:sz w:val="18"/>
        </w:rPr>
        <w:t> </w:t>
      </w:r>
      <w:r>
        <w:rPr>
          <w:sz w:val="18"/>
        </w:rPr>
        <w:t>ei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moonutatud. Euroopa Komisjon ei vastuta taaskasutamisest tulenevate võimalike tagajärgede eest. Euroopa Komisjoni dokumentide taaskasutamise</w:t>
      </w:r>
      <w:r>
        <w:rPr>
          <w:spacing w:val="-6"/>
          <w:sz w:val="18"/>
        </w:rPr>
        <w:t> </w:t>
      </w:r>
      <w:r>
        <w:rPr>
          <w:sz w:val="18"/>
        </w:rPr>
        <w:t>põhimõtteid</w:t>
      </w:r>
      <w:r>
        <w:rPr>
          <w:spacing w:val="-6"/>
          <w:sz w:val="18"/>
        </w:rPr>
        <w:t> </w:t>
      </w:r>
      <w:r>
        <w:rPr>
          <w:sz w:val="18"/>
        </w:rPr>
        <w:t>rakendatakse</w:t>
      </w:r>
      <w:r>
        <w:rPr>
          <w:spacing w:val="-6"/>
          <w:sz w:val="18"/>
        </w:rPr>
        <w:t> </w:t>
      </w:r>
      <w:r>
        <w:rPr>
          <w:sz w:val="18"/>
        </w:rPr>
        <w:t>vastavalt</w:t>
      </w:r>
      <w:r>
        <w:rPr>
          <w:spacing w:val="-6"/>
          <w:sz w:val="18"/>
        </w:rPr>
        <w:t> </w:t>
      </w:r>
      <w:r>
        <w:rPr>
          <w:sz w:val="18"/>
        </w:rPr>
        <w:t>komisjoni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detsembri</w:t>
      </w:r>
      <w:r>
        <w:rPr>
          <w:spacing w:val="-6"/>
          <w:sz w:val="18"/>
        </w:rPr>
        <w:t> </w:t>
      </w:r>
      <w:r>
        <w:rPr>
          <w:sz w:val="18"/>
        </w:rPr>
        <w:t>2011.</w:t>
      </w:r>
      <w:r>
        <w:rPr>
          <w:spacing w:val="-6"/>
          <w:sz w:val="18"/>
        </w:rPr>
        <w:t> </w:t>
      </w:r>
      <w:r>
        <w:rPr>
          <w:sz w:val="18"/>
        </w:rPr>
        <w:t>aasta</w:t>
      </w:r>
      <w:r>
        <w:rPr>
          <w:spacing w:val="-6"/>
          <w:sz w:val="18"/>
        </w:rPr>
        <w:t> </w:t>
      </w:r>
      <w:r>
        <w:rPr>
          <w:sz w:val="18"/>
        </w:rPr>
        <w:t>otsusele</w:t>
      </w:r>
      <w:r>
        <w:rPr>
          <w:spacing w:val="-6"/>
          <w:sz w:val="18"/>
        </w:rPr>
        <w:t> </w:t>
      </w:r>
      <w:r>
        <w:rPr>
          <w:sz w:val="18"/>
        </w:rPr>
        <w:t>2011/833/EL</w:t>
      </w:r>
      <w:r>
        <w:rPr>
          <w:spacing w:val="-6"/>
          <w:sz w:val="18"/>
        </w:rPr>
        <w:t> </w:t>
      </w:r>
      <w:r>
        <w:rPr>
          <w:sz w:val="18"/>
        </w:rPr>
        <w:t>komisjoni dokumentide taaskasutamise kohta (ELT L 330, 14.12.2011, lk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Hind</w:t>
      </w:r>
      <w:r>
        <w:rPr>
          <w:spacing w:val="-6"/>
        </w:rPr>
        <w:t> </w:t>
      </w:r>
      <w:r>
        <w:rPr/>
        <w:t>Luksemburgis</w:t>
      </w:r>
      <w:r>
        <w:rPr>
          <w:spacing w:val="-5"/>
        </w:rPr>
        <w:t> </w:t>
      </w:r>
      <w:r>
        <w:rPr/>
        <w:t>(käibemaksuta):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spacing w:line="290" w:lineRule="auto" w:before="166"/>
        <w:ind w:left="437" w:right="454" w:firstLine="0"/>
        <w:jc w:val="left"/>
        <w:rPr>
          <w:sz w:val="22"/>
        </w:rPr>
      </w:pPr>
      <w:r>
        <w:rPr>
          <w:sz w:val="22"/>
        </w:rPr>
        <w:t>Kõikjal</w:t>
      </w:r>
      <w:r>
        <w:rPr>
          <w:spacing w:val="-6"/>
          <w:sz w:val="22"/>
        </w:rPr>
        <w:t> </w:t>
      </w:r>
      <w:r>
        <w:rPr>
          <w:sz w:val="22"/>
        </w:rPr>
        <w:t>Euroopa</w:t>
      </w:r>
      <w:r>
        <w:rPr>
          <w:spacing w:val="-6"/>
          <w:sz w:val="22"/>
        </w:rPr>
        <w:t> </w:t>
      </w:r>
      <w:r>
        <w:rPr>
          <w:sz w:val="22"/>
        </w:rPr>
        <w:t>Liidus</w:t>
      </w:r>
      <w:r>
        <w:rPr>
          <w:spacing w:val="-6"/>
          <w:sz w:val="22"/>
        </w:rPr>
        <w:t> </w:t>
      </w:r>
      <w:r>
        <w:rPr>
          <w:sz w:val="22"/>
        </w:rPr>
        <w:t>on</w:t>
      </w:r>
      <w:r>
        <w:rPr>
          <w:spacing w:val="-6"/>
          <w:sz w:val="22"/>
        </w:rPr>
        <w:t> </w:t>
      </w:r>
      <w:r>
        <w:rPr>
          <w:sz w:val="22"/>
        </w:rPr>
        <w:t>sadu</w:t>
      </w:r>
      <w:r>
        <w:rPr>
          <w:spacing w:val="-6"/>
          <w:sz w:val="22"/>
        </w:rPr>
        <w:t> </w:t>
      </w: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Directi</w:t>
      </w:r>
      <w:r>
        <w:rPr>
          <w:spacing w:val="-6"/>
          <w:sz w:val="22"/>
        </w:rPr>
        <w:t> </w:t>
      </w:r>
      <w:r>
        <w:rPr>
          <w:sz w:val="22"/>
        </w:rPr>
        <w:t>keskusi.</w:t>
      </w:r>
      <w:r>
        <w:rPr>
          <w:spacing w:val="-6"/>
          <w:sz w:val="22"/>
        </w:rPr>
        <w:t> </w:t>
      </w:r>
      <w:r>
        <w:rPr>
          <w:sz w:val="22"/>
        </w:rPr>
        <w:t>Teile</w:t>
      </w:r>
      <w:r>
        <w:rPr>
          <w:spacing w:val="-6"/>
          <w:sz w:val="22"/>
        </w:rPr>
        <w:t> </w:t>
      </w:r>
      <w:r>
        <w:rPr>
          <w:sz w:val="22"/>
        </w:rPr>
        <w:t>lähima</w:t>
      </w:r>
      <w:r>
        <w:rPr>
          <w:spacing w:val="-6"/>
          <w:sz w:val="22"/>
        </w:rPr>
        <w:t> </w:t>
      </w:r>
      <w:r>
        <w:rPr>
          <w:sz w:val="22"/>
        </w:rPr>
        <w:t>keskuse</w:t>
      </w:r>
      <w:r>
        <w:rPr>
          <w:spacing w:val="-6"/>
          <w:sz w:val="22"/>
        </w:rPr>
        <w:t> </w:t>
      </w:r>
      <w:r>
        <w:rPr>
          <w:sz w:val="22"/>
        </w:rPr>
        <w:t>aadressi</w:t>
      </w:r>
      <w:r>
        <w:rPr>
          <w:spacing w:val="-6"/>
          <w:sz w:val="22"/>
        </w:rPr>
        <w:t> </w:t>
      </w:r>
      <w:r>
        <w:rPr>
          <w:sz w:val="22"/>
        </w:rPr>
        <w:t>leiate</w:t>
      </w:r>
      <w:r>
        <w:rPr>
          <w:spacing w:val="-6"/>
          <w:sz w:val="22"/>
        </w:rPr>
        <w:t> </w:t>
      </w:r>
      <w:r>
        <w:rPr>
          <w:sz w:val="22"/>
        </w:rPr>
        <w:t>veebist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https://european-union.europa.eu/contact-eu/meet-us_et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8"/>
          <w:sz w:val="22"/>
        </w:rPr>
        <w:t> </w:t>
      </w:r>
      <w:r>
        <w:rPr>
          <w:sz w:val="22"/>
        </w:rPr>
        <w:t>on</w:t>
      </w:r>
      <w:r>
        <w:rPr>
          <w:spacing w:val="-8"/>
          <w:sz w:val="22"/>
        </w:rPr>
        <w:t> </w:t>
      </w:r>
      <w:r>
        <w:rPr>
          <w:sz w:val="22"/>
        </w:rPr>
        <w:t>teenistus,</w:t>
      </w:r>
      <w:r>
        <w:rPr>
          <w:spacing w:val="-8"/>
          <w:sz w:val="22"/>
        </w:rPr>
        <w:t> </w:t>
      </w:r>
      <w:r>
        <w:rPr>
          <w:sz w:val="22"/>
        </w:rPr>
        <w:t>mis</w:t>
      </w:r>
      <w:r>
        <w:rPr>
          <w:spacing w:val="-8"/>
          <w:sz w:val="22"/>
        </w:rPr>
        <w:t> </w:t>
      </w:r>
      <w:r>
        <w:rPr>
          <w:sz w:val="22"/>
        </w:rPr>
        <w:t>vastab</w:t>
      </w:r>
      <w:r>
        <w:rPr>
          <w:spacing w:val="-8"/>
          <w:sz w:val="22"/>
        </w:rPr>
        <w:t> </w:t>
      </w:r>
      <w:r>
        <w:rPr>
          <w:sz w:val="22"/>
        </w:rPr>
        <w:t>Teie</w:t>
      </w:r>
      <w:r>
        <w:rPr>
          <w:spacing w:val="-8"/>
          <w:sz w:val="22"/>
        </w:rPr>
        <w:t> </w:t>
      </w:r>
      <w:r>
        <w:rPr>
          <w:sz w:val="22"/>
        </w:rPr>
        <w:t>küsimustele</w:t>
      </w:r>
      <w:r>
        <w:rPr>
          <w:spacing w:val="-8"/>
          <w:sz w:val="22"/>
        </w:rPr>
        <w:t> </w:t>
      </w:r>
      <w:r>
        <w:rPr>
          <w:sz w:val="22"/>
        </w:rPr>
        <w:t>Euroopa</w:t>
      </w:r>
      <w:r>
        <w:rPr>
          <w:spacing w:val="-8"/>
          <w:sz w:val="22"/>
        </w:rPr>
        <w:t> </w:t>
      </w:r>
      <w:r>
        <w:rPr>
          <w:sz w:val="22"/>
        </w:rPr>
        <w:t>Liidu</w:t>
      </w:r>
      <w:r>
        <w:rPr>
          <w:spacing w:val="-8"/>
          <w:sz w:val="22"/>
        </w:rPr>
        <w:t> </w:t>
      </w:r>
      <w:r>
        <w:rPr>
          <w:sz w:val="22"/>
        </w:rPr>
        <w:t>kohta.</w:t>
      </w:r>
      <w:r>
        <w:rPr>
          <w:spacing w:val="-8"/>
          <w:sz w:val="22"/>
        </w:rPr>
        <w:t> </w:t>
      </w:r>
      <w:r>
        <w:rPr>
          <w:sz w:val="22"/>
        </w:rPr>
        <w:t>Teenistusega</w:t>
      </w:r>
      <w:r>
        <w:rPr>
          <w:spacing w:val="-8"/>
          <w:sz w:val="22"/>
        </w:rPr>
        <w:t> </w:t>
      </w:r>
      <w:r>
        <w:rPr>
          <w:sz w:val="22"/>
        </w:rPr>
        <w:t>saate ühendust võtta: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4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</w:t>
      </w:r>
      <w:r>
        <w:rPr>
          <w:spacing w:val="-4"/>
          <w:sz w:val="22"/>
        </w:rPr>
        <w:t> </w:t>
      </w:r>
      <w:r>
        <w:rPr>
          <w:sz w:val="22"/>
        </w:rPr>
        <w:t>tasu </w:t>
      </w:r>
      <w:r>
        <w:rPr>
          <w:spacing w:val="-2"/>
          <w:sz w:val="22"/>
        </w:rPr>
        <w:t>võtta),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5"/>
      </w:pPr>
      <w:r>
        <w:rPr>
          <w:spacing w:val="-2"/>
        </w:rPr>
        <w:t>Veebis</w:t>
      </w:r>
    </w:p>
    <w:p>
      <w:pPr>
        <w:spacing w:line="290" w:lineRule="auto" w:before="166"/>
        <w:ind w:left="437" w:right="1259" w:firstLine="0"/>
        <w:jc w:val="left"/>
        <w:rPr>
          <w:sz w:val="22"/>
        </w:rPr>
      </w:pPr>
      <w:r>
        <w:rPr>
          <w:sz w:val="22"/>
        </w:rPr>
        <w:t>Euroopa</w:t>
      </w:r>
      <w:r>
        <w:rPr>
          <w:spacing w:val="-4"/>
          <w:sz w:val="22"/>
        </w:rPr>
        <w:t> </w:t>
      </w:r>
      <w:r>
        <w:rPr>
          <w:sz w:val="22"/>
        </w:rPr>
        <w:t>Liitu</w:t>
      </w:r>
      <w:r>
        <w:rPr>
          <w:spacing w:val="-4"/>
          <w:sz w:val="22"/>
        </w:rPr>
        <w:t> </w:t>
      </w:r>
      <w:r>
        <w:rPr>
          <w:sz w:val="22"/>
        </w:rPr>
        <w:t>käsitlev</w:t>
      </w:r>
      <w:r>
        <w:rPr>
          <w:spacing w:val="-4"/>
          <w:sz w:val="22"/>
        </w:rPr>
        <w:t> </w:t>
      </w:r>
      <w:r>
        <w:rPr>
          <w:sz w:val="22"/>
        </w:rPr>
        <w:t>teave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kõigis</w:t>
      </w:r>
      <w:r>
        <w:rPr>
          <w:spacing w:val="-4"/>
          <w:sz w:val="22"/>
        </w:rPr>
        <w:t> </w:t>
      </w:r>
      <w:r>
        <w:rPr>
          <w:sz w:val="22"/>
        </w:rPr>
        <w:t>ELi</w:t>
      </w:r>
      <w:r>
        <w:rPr>
          <w:spacing w:val="-4"/>
          <w:sz w:val="22"/>
        </w:rPr>
        <w:t> </w:t>
      </w:r>
      <w:r>
        <w:rPr>
          <w:sz w:val="22"/>
        </w:rPr>
        <w:t>ametlikes</w:t>
      </w:r>
      <w:r>
        <w:rPr>
          <w:spacing w:val="-4"/>
          <w:sz w:val="22"/>
        </w:rPr>
        <w:t> </w:t>
      </w:r>
      <w:r>
        <w:rPr>
          <w:sz w:val="22"/>
        </w:rPr>
        <w:t>keeltes</w:t>
      </w:r>
      <w:r>
        <w:rPr>
          <w:spacing w:val="-4"/>
          <w:sz w:val="22"/>
        </w:rPr>
        <w:t> </w:t>
      </w:r>
      <w:r>
        <w:rPr>
          <w:sz w:val="22"/>
        </w:rPr>
        <w:t>kättesaadav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veebisaidil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spacing w:line="290" w:lineRule="auto" w:before="167"/>
        <w:ind w:left="437" w:right="454" w:firstLine="0"/>
        <w:jc w:val="left"/>
        <w:rPr>
          <w:sz w:val="22"/>
        </w:rPr>
      </w:pPr>
      <w:r>
        <w:rPr>
          <w:sz w:val="22"/>
        </w:rPr>
        <w:t>Tasuta ja tasulisi ELi väljaandeid saab vaadata või tellida aadressil </w:t>
      </w:r>
      <w:hyperlink r:id="rId13">
        <w:r>
          <w:rPr>
            <w:color w:val="0000FF"/>
            <w:sz w:val="22"/>
            <w:u w:val="single" w:color="0000FF"/>
          </w:rPr>
          <w:t>op.europa.eu/et/publications</w:t>
        </w:r>
      </w:hyperlink>
      <w:r>
        <w:rPr>
          <w:sz w:val="22"/>
          <w:u w:val="none"/>
        </w:rPr>
        <w:t>. Suuremas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koguses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väljaannete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saamiseks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võtke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ühendust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teenistusega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või oma kohaliku dokumendikeskusega (</w:t>
      </w:r>
      <w:hyperlink r:id="rId10">
        <w:r>
          <w:rPr>
            <w:color w:val="0000FF"/>
            <w:sz w:val="22"/>
            <w:u w:val="single" w:color="0000FF"/>
          </w:rPr>
          <w:t>europeanunion.europa.eu/contact-eu/meet-us_et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spacing w:line="290" w:lineRule="auto" w:before="166"/>
        <w:ind w:left="437" w:right="454" w:firstLine="0"/>
        <w:jc w:val="left"/>
        <w:rPr>
          <w:sz w:val="22"/>
        </w:rPr>
      </w:pP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käsitleva</w:t>
      </w:r>
      <w:r>
        <w:rPr>
          <w:spacing w:val="-5"/>
          <w:sz w:val="22"/>
        </w:rPr>
        <w:t> </w:t>
      </w:r>
      <w:r>
        <w:rPr>
          <w:sz w:val="22"/>
        </w:rPr>
        <w:t>õigusteabe,</w:t>
      </w:r>
      <w:r>
        <w:rPr>
          <w:spacing w:val="-5"/>
          <w:sz w:val="22"/>
        </w:rPr>
        <w:t> </w:t>
      </w:r>
      <w:r>
        <w:rPr>
          <w:sz w:val="22"/>
        </w:rPr>
        <w:t>sealhulgas</w:t>
      </w:r>
      <w:r>
        <w:rPr>
          <w:spacing w:val="-5"/>
          <w:sz w:val="22"/>
        </w:rPr>
        <w:t> </w:t>
      </w:r>
      <w:r>
        <w:rPr>
          <w:sz w:val="22"/>
        </w:rPr>
        <w:t>alates</w:t>
      </w:r>
      <w:r>
        <w:rPr>
          <w:spacing w:val="-5"/>
          <w:sz w:val="22"/>
        </w:rPr>
        <w:t> </w:t>
      </w:r>
      <w:r>
        <w:rPr>
          <w:sz w:val="22"/>
        </w:rPr>
        <w:t>1951.</w:t>
      </w:r>
      <w:r>
        <w:rPr>
          <w:spacing w:val="-5"/>
          <w:sz w:val="22"/>
        </w:rPr>
        <w:t> </w:t>
      </w:r>
      <w:r>
        <w:rPr>
          <w:sz w:val="22"/>
        </w:rPr>
        <w:t>aastast</w:t>
      </w:r>
      <w:r>
        <w:rPr>
          <w:spacing w:val="-5"/>
          <w:sz w:val="22"/>
        </w:rPr>
        <w:t> </w:t>
      </w:r>
      <w:r>
        <w:rPr>
          <w:sz w:val="22"/>
        </w:rPr>
        <w:t>kõigi</w:t>
      </w:r>
      <w:r>
        <w:rPr>
          <w:spacing w:val="-5"/>
          <w:sz w:val="22"/>
        </w:rPr>
        <w:t> </w:t>
      </w:r>
      <w:r>
        <w:rPr>
          <w:sz w:val="22"/>
        </w:rPr>
        <w:t>ELi</w:t>
      </w:r>
      <w:r>
        <w:rPr>
          <w:spacing w:val="-5"/>
          <w:sz w:val="22"/>
        </w:rPr>
        <w:t> </w:t>
      </w:r>
      <w:r>
        <w:rPr>
          <w:sz w:val="22"/>
        </w:rPr>
        <w:t>õigusaktide</w:t>
      </w:r>
      <w:r>
        <w:rPr>
          <w:spacing w:val="-5"/>
          <w:sz w:val="22"/>
        </w:rPr>
        <w:t> </w:t>
      </w:r>
      <w:r>
        <w:rPr>
          <w:sz w:val="22"/>
        </w:rPr>
        <w:t>konsulteerimiseks kõigis ametlikes keeleversioonides vt EUR-Lexʼi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spacing w:line="290" w:lineRule="auto" w:before="167"/>
        <w:ind w:left="437" w:right="454" w:firstLine="0"/>
        <w:jc w:val="left"/>
        <w:rPr>
          <w:sz w:val="22"/>
        </w:rPr>
      </w:pPr>
      <w:r>
        <w:rPr>
          <w:sz w:val="22"/>
        </w:rPr>
        <w:t>Portaal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võimaldab juurdepääsu ELi institutsioonide, organite ja asutuste avatud andmete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kogumitele.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Neid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võib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tasuta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laadida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ning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kasutada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mitteärilisel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eesmärgil. Portaal pakub juurdepääsu ka suurele hulgale Euroopa riikide andmekogumitele.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et-E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et-E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t-E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t" TargetMode="External"/><Relationship Id="rId11" Type="http://schemas.openxmlformats.org/officeDocument/2006/relationships/hyperlink" Target="https://european-union.europa.eu/contact-eu/write-us_et" TargetMode="External"/><Relationship Id="rId12" Type="http://schemas.openxmlformats.org/officeDocument/2006/relationships/hyperlink" Target="https://european-union.europa.eu/index_et" TargetMode="External"/><Relationship Id="rId13" Type="http://schemas.openxmlformats.org/officeDocument/2006/relationships/hyperlink" Target="https://op.europa.eu/e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ET</dc:title>
  <dcterms:created xsi:type="dcterms:W3CDTF">2025-04-28T11:38:38Z</dcterms:created>
  <dcterms:modified xsi:type="dcterms:W3CDTF">2025-04-28T11:38:38Z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