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RO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713"/>
      </w:pPr>
      <w:r>
        <w:rPr/>
        <w:t>Ediție</w:t>
      </w:r>
      <w:r>
        <w:rPr>
          <w:spacing w:val="-4"/>
        </w:rPr>
        <w:t> </w:t>
      </w:r>
      <w:r>
        <w:rPr/>
        <w:t>revizuită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Ediție</w:t>
      </w:r>
      <w:r>
        <w:rPr>
          <w:spacing w:val="-4"/>
        </w:rPr>
        <w:t> </w:t>
      </w:r>
      <w:r>
        <w:rPr/>
        <w:t>corectată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Ediția</w:t>
      </w:r>
      <w:r>
        <w:rPr>
          <w:spacing w:val="-4"/>
        </w:rPr>
        <w:t> </w:t>
      </w:r>
      <w:r>
        <w:rPr/>
        <w:t>întâi/Ediția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doua/Ediția</w:t>
      </w:r>
      <w:r>
        <w:rPr>
          <w:spacing w:val="-4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4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7602"/>
      </w:pPr>
      <w:r>
        <w:rPr/>
        <w:t>© [Agenția executivă ], [anul]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29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[Agenția</w:t>
      </w:r>
      <w:r>
        <w:rPr>
          <w:spacing w:val="-4"/>
        </w:rPr>
        <w:t> </w:t>
      </w:r>
      <w:r>
        <w:rPr/>
        <w:t>executivă</w:t>
      </w:r>
      <w:r>
        <w:rPr>
          <w:spacing w:val="-4"/>
        </w:rPr>
        <w:t> </w:t>
      </w:r>
      <w:r>
        <w:rPr/>
        <w:t>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</w:t>
      </w:r>
      <w:r>
        <w:rPr>
          <w:spacing w:val="-4"/>
        </w:rPr>
        <w:t> </w:t>
      </w:r>
      <w:r>
        <w:rPr/>
        <w:t>[numele</w:t>
      </w:r>
      <w:r>
        <w:rPr>
          <w:spacing w:val="-4"/>
        </w:rPr>
        <w:t> </w:t>
      </w:r>
      <w:r>
        <w:rPr/>
        <w:t>instrumentului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590"/>
      </w:pPr>
      <w:r>
        <w:rPr/>
        <w:t>Agențiile executive aplică politica de reutilizare a Comisiei, care este pusă în aplicare prin Decizia 2011/833/ UE</w:t>
      </w:r>
      <w:r>
        <w:rPr>
          <w:spacing w:val="-5"/>
        </w:rPr>
        <w:t> </w:t>
      </w:r>
      <w:r>
        <w:rPr/>
        <w:t>din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decembrie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privind</w:t>
      </w:r>
      <w:r>
        <w:rPr>
          <w:spacing w:val="-5"/>
        </w:rPr>
        <w:t> </w:t>
      </w:r>
      <w:r>
        <w:rPr/>
        <w:t>reutilizarea</w:t>
      </w:r>
      <w:r>
        <w:rPr>
          <w:spacing w:val="-5"/>
        </w:rPr>
        <w:t> </w:t>
      </w:r>
      <w:r>
        <w:rPr/>
        <w:t>documentelor</w:t>
      </w:r>
      <w:r>
        <w:rPr>
          <w:spacing w:val="-5"/>
        </w:rPr>
        <w:t> </w:t>
      </w:r>
      <w:r>
        <w:rPr/>
        <w:t>Comisiei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 Uniunea Europeană sau [agenția executivă]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59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73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</w:t>
      </w:r>
      <w:r>
        <w:rPr>
          <w:sz w:val="18"/>
        </w:rPr>
        <w:t> prezenta publicație. Politica de reutilizare a documentelor Comisiei Europene este reglementată prin Decizia 2011/833/ UE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din</w:t>
      </w:r>
      <w:r>
        <w:rPr>
          <w:spacing w:val="-4"/>
          <w:sz w:val="18"/>
        </w:rPr>
        <w:t> </w:t>
      </w:r>
      <w:r>
        <w:rPr>
          <w:sz w:val="18"/>
        </w:rPr>
        <w:t>12</w:t>
      </w:r>
      <w:r>
        <w:rPr>
          <w:spacing w:val="-4"/>
          <w:sz w:val="18"/>
        </w:rPr>
        <w:t> </w:t>
      </w:r>
      <w:r>
        <w:rPr>
          <w:sz w:val="18"/>
        </w:rPr>
        <w:t>decembrie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privind</w:t>
      </w:r>
      <w:r>
        <w:rPr>
          <w:spacing w:val="-4"/>
          <w:sz w:val="18"/>
        </w:rPr>
        <w:t> </w:t>
      </w:r>
      <w:r>
        <w:rPr>
          <w:sz w:val="18"/>
        </w:rPr>
        <w:t>reutilizarea</w:t>
      </w:r>
      <w:r>
        <w:rPr>
          <w:spacing w:val="-4"/>
          <w:sz w:val="18"/>
        </w:rPr>
        <w:t> </w:t>
      </w:r>
      <w:r>
        <w:rPr>
          <w:sz w:val="18"/>
        </w:rPr>
        <w:t>documentelor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369" w:right="35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1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369" w:right="406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369" w:right="418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369" w:right="886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RO</dc:title>
  <dcterms:created xsi:type="dcterms:W3CDTF">2025-07-15T13:19:56Z</dcterms:created>
  <dcterms:modified xsi:type="dcterms:W3CDTF">2025-07-15T13:19:56Z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