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6621" w:firstLine="0"/>
        <w:jc w:val="left"/>
        <w:rPr>
          <w:sz w:val="20"/>
        </w:rPr>
      </w:pPr>
      <w:bookmarkStart w:name="European Commission – HU" w:id="1"/>
      <w:bookmarkEnd w:id="1"/>
      <w:r>
        <w:rPr/>
      </w:r>
      <w:r>
        <w:rPr>
          <w:color w:val="FF0000"/>
          <w:sz w:val="20"/>
        </w:rPr>
        <w:t>European Commission – HU </w:t>
      </w:r>
      <w:r>
        <w:rPr>
          <w:i/>
          <w:sz w:val="20"/>
        </w:rPr>
        <w:t>Printed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[ország]</w:t>
      </w:r>
      <w:r>
        <w:rPr>
          <w:i/>
          <w:sz w:val="20"/>
        </w:rPr>
        <w:t> </w:t>
      </w:r>
      <w:r>
        <w:rPr>
          <w:sz w:val="20"/>
        </w:rPr>
        <w:t>Kézirat lezárva: [év]. [hónap]</w:t>
      </w:r>
    </w:p>
    <w:p>
      <w:pPr>
        <w:pStyle w:val="BodyText"/>
        <w:spacing w:line="227" w:lineRule="exact"/>
      </w:pPr>
      <w:r>
        <w:rPr/>
        <w:t>Felülvizsgált</w:t>
      </w:r>
      <w:r>
        <w:rPr>
          <w:spacing w:val="-4"/>
        </w:rPr>
        <w:t> </w:t>
      </w:r>
      <w:r>
        <w:rPr/>
        <w:t>kiadás</w:t>
      </w:r>
      <w:r>
        <w:rPr>
          <w:spacing w:val="-2"/>
        </w:rPr>
        <w:t> </w:t>
      </w:r>
      <w:r>
        <w:rPr/>
        <w:t>/</w:t>
      </w:r>
      <w:r>
        <w:rPr>
          <w:spacing w:val="-3"/>
        </w:rPr>
        <w:t> </w:t>
      </w:r>
      <w:r>
        <w:rPr/>
        <w:t>Javított</w:t>
      </w:r>
      <w:r>
        <w:rPr>
          <w:spacing w:val="-4"/>
        </w:rPr>
        <w:t> </w:t>
      </w:r>
      <w:r>
        <w:rPr/>
        <w:t>kiadás</w:t>
      </w:r>
      <w:r>
        <w:rPr>
          <w:spacing w:val="-2"/>
        </w:rPr>
        <w:t> </w:t>
      </w:r>
      <w:r>
        <w:rPr/>
        <w:t>/</w:t>
      </w:r>
      <w:r>
        <w:rPr>
          <w:spacing w:val="-4"/>
        </w:rPr>
        <w:t> </w:t>
      </w:r>
      <w:r>
        <w:rPr>
          <w:i/>
        </w:rPr>
        <w:t>n.</w:t>
      </w:r>
      <w:r>
        <w:rPr>
          <w:i/>
          <w:spacing w:val="-3"/>
        </w:rPr>
        <w:t> </w:t>
      </w:r>
      <w:r>
        <w:rPr/>
        <w:t>kiadás”</w:t>
      </w:r>
      <w:r>
        <w:rPr>
          <w:spacing w:val="-3"/>
        </w:rPr>
        <w:t> </w:t>
      </w:r>
      <w:r>
        <w:rPr>
          <w:spacing w:val="-2"/>
        </w:rPr>
        <w:t>kifejezések</w:t>
      </w:r>
    </w:p>
    <w:p>
      <w:pPr>
        <w:pStyle w:val="BodyText"/>
        <w:spacing w:before="85"/>
        <w:ind w:left="0"/>
      </w:pPr>
    </w:p>
    <w:p>
      <w:pPr>
        <w:pStyle w:val="BodyText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right="796"/>
      </w:pPr>
      <w:r>
        <w:rPr/>
        <w:t>E</w:t>
      </w:r>
      <w:r>
        <w:rPr>
          <w:spacing w:val="-5"/>
        </w:rPr>
        <w:t> </w:t>
      </w:r>
      <w:r>
        <w:rPr/>
        <w:t>dokumentum</w:t>
      </w:r>
      <w:r>
        <w:rPr>
          <w:spacing w:val="-5"/>
        </w:rPr>
        <w:t> </w:t>
      </w:r>
      <w:r>
        <w:rPr/>
        <w:t>tartalma</w:t>
      </w:r>
      <w:r>
        <w:rPr>
          <w:spacing w:val="-5"/>
        </w:rPr>
        <w:t> </w:t>
      </w:r>
      <w:r>
        <w:rPr/>
        <w:t>nem</w:t>
      </w:r>
      <w:r>
        <w:rPr>
          <w:spacing w:val="-5"/>
        </w:rPr>
        <w:t> </w:t>
      </w:r>
      <w:r>
        <w:rPr/>
        <w:t>tekinthető</w:t>
      </w:r>
      <w:r>
        <w:rPr>
          <w:spacing w:val="-5"/>
        </w:rPr>
        <w:t> </w:t>
      </w:r>
      <w:r>
        <w:rPr/>
        <w:t>az</w:t>
      </w:r>
      <w:r>
        <w:rPr>
          <w:spacing w:val="-5"/>
        </w:rPr>
        <w:t> </w:t>
      </w:r>
      <w:r>
        <w:rPr/>
        <w:t>Európai</w:t>
      </w:r>
      <w:r>
        <w:rPr>
          <w:spacing w:val="-5"/>
        </w:rPr>
        <w:t> </w:t>
      </w:r>
      <w:r>
        <w:rPr/>
        <w:t>Bizottság</w:t>
      </w:r>
      <w:r>
        <w:rPr>
          <w:spacing w:val="-5"/>
        </w:rPr>
        <w:t> </w:t>
      </w:r>
      <w:r>
        <w:rPr/>
        <w:t>hivatalos</w:t>
      </w:r>
      <w:r>
        <w:rPr>
          <w:spacing w:val="-5"/>
        </w:rPr>
        <w:t> </w:t>
      </w:r>
      <w:r>
        <w:rPr/>
        <w:t>állásfoglalásának. Luxembourg: Az Európai Unió Kiadóhivatala, [évszám]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Unió,</w:t>
      </w:r>
      <w:r>
        <w:rPr>
          <w:spacing w:val="-4"/>
        </w:rPr>
        <w:t> </w:t>
      </w:r>
      <w:r>
        <w:rPr>
          <w:spacing w:val="-2"/>
        </w:rPr>
        <w:t>[évszám]</w:t>
      </w:r>
    </w:p>
    <w:p>
      <w:pPr>
        <w:pStyle w:val="BodyText"/>
        <w:ind w:left="0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</w:pPr>
      <w:r>
        <w:rPr/>
        <w:t>A</w:t>
      </w:r>
      <w:r>
        <w:rPr>
          <w:spacing w:val="-6"/>
        </w:rPr>
        <w:t> </w:t>
      </w:r>
      <w:r>
        <w:rPr/>
        <w:t>bizottsági</w:t>
      </w:r>
      <w:r>
        <w:rPr>
          <w:spacing w:val="-6"/>
        </w:rPr>
        <w:t> </w:t>
      </w:r>
      <w:r>
        <w:rPr/>
        <w:t>dokumentumok</w:t>
      </w:r>
      <w:r>
        <w:rPr>
          <w:spacing w:val="-6"/>
        </w:rPr>
        <w:t> </w:t>
      </w:r>
      <w:r>
        <w:rPr/>
        <w:t>további</w:t>
      </w:r>
      <w:r>
        <w:rPr>
          <w:spacing w:val="-6"/>
        </w:rPr>
        <w:t> </w:t>
      </w:r>
      <w:r>
        <w:rPr/>
        <w:t>felhasználására</w:t>
      </w:r>
      <w:r>
        <w:rPr>
          <w:spacing w:val="-6"/>
        </w:rPr>
        <w:t> </w:t>
      </w:r>
      <w:r>
        <w:rPr/>
        <w:t>vonatkozó</w:t>
      </w:r>
      <w:r>
        <w:rPr>
          <w:spacing w:val="-6"/>
        </w:rPr>
        <w:t> </w:t>
      </w:r>
      <w:r>
        <w:rPr/>
        <w:t>szabályokat</w:t>
      </w:r>
      <w:r>
        <w:rPr>
          <w:spacing w:val="-6"/>
        </w:rPr>
        <w:t> </w:t>
      </w:r>
      <w:r>
        <w:rPr/>
        <w:t>az</w:t>
      </w:r>
      <w:r>
        <w:rPr>
          <w:spacing w:val="-6"/>
        </w:rPr>
        <w:t> </w:t>
      </w:r>
      <w:r>
        <w:rPr/>
        <w:t>erről</w:t>
      </w:r>
      <w:r>
        <w:rPr>
          <w:spacing w:val="-6"/>
        </w:rPr>
        <w:t> </w:t>
      </w:r>
      <w:r>
        <w:rPr/>
        <w:t>szóló,</w:t>
      </w:r>
      <w:r>
        <w:rPr>
          <w:spacing w:val="-6"/>
        </w:rPr>
        <w:t> </w:t>
      </w:r>
      <w:r>
        <w:rPr/>
        <w:t>2011.</w:t>
      </w:r>
      <w:r>
        <w:rPr>
          <w:spacing w:val="-6"/>
        </w:rPr>
        <w:t> </w:t>
      </w:r>
      <w:r>
        <w:rPr/>
        <w:t>December 12‑i</w:t>
      </w:r>
      <w:r>
        <w:rPr>
          <w:spacing w:val="-1"/>
        </w:rPr>
        <w:t> </w:t>
      </w:r>
      <w:r>
        <w:rPr/>
        <w:t>2011/833/EU</w:t>
      </w:r>
      <w:r>
        <w:rPr>
          <w:spacing w:val="-1"/>
        </w:rPr>
        <w:t> </w:t>
      </w:r>
      <w:r>
        <w:rPr/>
        <w:t>bizottsági</w:t>
      </w:r>
      <w:r>
        <w:rPr>
          <w:spacing w:val="-1"/>
        </w:rPr>
        <w:t> </w:t>
      </w:r>
      <w:r>
        <w:rPr/>
        <w:t>határozat</w:t>
      </w:r>
      <w:r>
        <w:rPr>
          <w:spacing w:val="-1"/>
        </w:rPr>
        <w:t> </w:t>
      </w:r>
      <w:r>
        <w:rPr/>
        <w:t>(HL</w:t>
      </w:r>
      <w:r>
        <w:rPr>
          <w:spacing w:val="-1"/>
        </w:rPr>
        <w:t> </w:t>
      </w:r>
      <w:r>
        <w:rPr/>
        <w:t>L</w:t>
      </w:r>
      <w:r>
        <w:rPr>
          <w:spacing w:val="-1"/>
        </w:rPr>
        <w:t> </w:t>
      </w:r>
      <w:r>
        <w:rPr/>
        <w:t>330.,</w:t>
      </w:r>
      <w:r>
        <w:rPr>
          <w:spacing w:val="-1"/>
        </w:rPr>
        <w:t> </w:t>
      </w:r>
      <w:r>
        <w:rPr/>
        <w:t>2011.12.14.,</w:t>
      </w:r>
      <w:r>
        <w:rPr>
          <w:spacing w:val="-1"/>
        </w:rPr>
        <w:t> </w:t>
      </w:r>
      <w:r>
        <w:rPr/>
        <w:t>39.</w:t>
      </w:r>
      <w:r>
        <w:rPr>
          <w:spacing w:val="-1"/>
        </w:rPr>
        <w:t> </w:t>
      </w:r>
      <w:r>
        <w:rPr/>
        <w:t>o.,</w:t>
      </w:r>
      <w:r>
        <w:rPr>
          <w:spacing w:val="-1"/>
        </w:rPr>
        <w:t> </w:t>
      </w:r>
      <w:r>
        <w:rPr/>
        <w:t>ELI:</w:t>
      </w:r>
      <w:r>
        <w:rPr>
          <w:spacing w:val="-1"/>
        </w:rPr>
        <w:t>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u w:val="single" w:color="337AB7"/>
          </w:rPr>
          <w:t>dec/2011/833/oj</w:t>
        </w:r>
      </w:hyperlink>
      <w:r>
        <w:rPr>
          <w:u w:val="none"/>
        </w:rPr>
        <w:t>) rögzíti.</w:t>
      </w:r>
    </w:p>
    <w:p>
      <w:pPr>
        <w:pStyle w:val="BodyText"/>
        <w:spacing w:line="244" w:lineRule="auto" w:before="98"/>
      </w:pPr>
      <w:r>
        <w:rPr/>
        <w:t>Eltérő rendelkezés hiányában e dokumentum további felhasználása a Creative Commons Nevezd meg! 4.0 nemzetközi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licencnek</w:t>
      </w:r>
      <w:r>
        <w:rPr>
          <w:spacing w:val="-7"/>
        </w:rPr>
        <w:t> </w:t>
      </w:r>
      <w:r>
        <w:rPr/>
        <w:t>megfelelően</w:t>
      </w:r>
      <w:r>
        <w:rPr>
          <w:spacing w:val="-7"/>
        </w:rPr>
        <w:t> </w:t>
      </w:r>
      <w:r>
        <w:rPr/>
        <w:t>engedélyezett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u w:val="single" w:color="337AB7"/>
          </w:rPr>
          <w:t>deed.hu</w:t>
        </w:r>
      </w:hyperlink>
      <w:r>
        <w:rPr>
          <w:u w:val="none"/>
        </w:rPr>
        <w:t>). Ez azt jelenti, hogy a további felhasználás a forrás megfelelő megnevezésével és az esetleges változtatások feltüntetésével megengedett.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95"/>
      </w:pPr>
      <w:r>
        <w:rPr/>
        <w:t>A nem az Európai Unió tulajdonában lévő elemek felhasználása vagy sokszorosítása érdekében közvetlenül a</w:t>
      </w:r>
      <w:r>
        <w:rPr>
          <w:spacing w:val="-4"/>
        </w:rPr>
        <w:t> </w:t>
      </w:r>
      <w:r>
        <w:rPr/>
        <w:t>szerzői</w:t>
      </w:r>
      <w:r>
        <w:rPr>
          <w:spacing w:val="-4"/>
        </w:rPr>
        <w:t> </w:t>
      </w:r>
      <w:r>
        <w:rPr/>
        <w:t>jog</w:t>
      </w:r>
      <w:r>
        <w:rPr>
          <w:spacing w:val="-4"/>
        </w:rPr>
        <w:t> </w:t>
      </w:r>
      <w:r>
        <w:rPr/>
        <w:t>tulajdonosához</w:t>
      </w:r>
      <w:r>
        <w:rPr>
          <w:spacing w:val="-4"/>
        </w:rPr>
        <w:t> </w:t>
      </w:r>
      <w:r>
        <w:rPr/>
        <w:t>kell</w:t>
      </w:r>
      <w:r>
        <w:rPr>
          <w:spacing w:val="-4"/>
        </w:rPr>
        <w:t> </w:t>
      </w:r>
      <w:r>
        <w:rPr/>
        <w:t>engedélyért</w:t>
      </w:r>
      <w:r>
        <w:rPr>
          <w:spacing w:val="-4"/>
        </w:rPr>
        <w:t> </w:t>
      </w:r>
      <w:r>
        <w:rPr/>
        <w:t>fordulni.</w:t>
      </w:r>
      <w:r>
        <w:rPr>
          <w:spacing w:val="-2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következő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tekintetében</w:t>
      </w:r>
      <w:r>
        <w:rPr>
          <w:spacing w:val="-4"/>
        </w:rPr>
        <w:t> </w:t>
      </w:r>
      <w:r>
        <w:rPr/>
        <w:t>nem rendelkezik szerzői joggal: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…</w:t>
      </w:r>
      <w:r>
        <w:rPr>
          <w:spacing w:val="-7"/>
          <w:sz w:val="20"/>
        </w:rPr>
        <w:t> </w:t>
      </w:r>
      <w:r>
        <w:rPr>
          <w:sz w:val="20"/>
        </w:rPr>
        <w:t>oldal,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6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5" w:after="0"/>
        <w:ind w:left="880" w:right="157" w:hanging="380"/>
        <w:jc w:val="left"/>
        <w:rPr>
          <w:sz w:val="20"/>
        </w:rPr>
      </w:pP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z w:val="20"/>
        </w:rPr>
        <w:t>oldal,</w:t>
      </w:r>
      <w:r>
        <w:rPr>
          <w:spacing w:val="-3"/>
          <w:sz w:val="20"/>
        </w:rPr>
        <w:t> </w:t>
      </w:r>
      <w:r>
        <w:rPr>
          <w:sz w:val="20"/>
        </w:rPr>
        <w:t>[érintett</w:t>
      </w:r>
      <w:r>
        <w:rPr>
          <w:spacing w:val="-3"/>
          <w:sz w:val="20"/>
        </w:rPr>
        <w:t> </w:t>
      </w:r>
      <w:r>
        <w:rPr>
          <w:sz w:val="20"/>
        </w:rPr>
        <w:t>elem],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2"/>
          <w:sz w:val="20"/>
        </w:rPr>
        <w:t> </w:t>
      </w:r>
      <w:r>
        <w:rPr>
          <w:sz w:val="20"/>
        </w:rPr>
        <w:t>pl.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[szerző],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licenc</w:t>
      </w:r>
      <w:r>
        <w:rPr>
          <w:spacing w:val="-3"/>
          <w:sz w:val="20"/>
        </w:rPr>
        <w:t> </w:t>
      </w:r>
      <w:r>
        <w:rPr>
          <w:sz w:val="20"/>
        </w:rPr>
        <w:t>alá</w:t>
      </w:r>
      <w:r>
        <w:rPr>
          <w:spacing w:val="-3"/>
          <w:sz w:val="20"/>
        </w:rPr>
        <w:t> </w:t>
      </w:r>
      <w:r>
        <w:rPr>
          <w:sz w:val="20"/>
        </w:rPr>
        <w:t>tartozik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licencre mutató link];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o.,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6"/>
          <w:sz w:val="20"/>
        </w:rPr>
        <w:t> </w:t>
      </w:r>
      <w:r>
        <w:rPr>
          <w:sz w:val="20"/>
        </w:rPr>
        <w:t>[évszám].</w:t>
      </w:r>
      <w:r>
        <w:rPr>
          <w:spacing w:val="-7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143"/>
      </w:pPr>
      <w:r>
        <w:rPr/>
        <w:t>A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tulajdonában</w:t>
      </w:r>
      <w:r>
        <w:rPr>
          <w:spacing w:val="-4"/>
        </w:rPr>
        <w:t> </w:t>
      </w:r>
      <w:r>
        <w:rPr/>
        <w:t>lévő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felhasználása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sokszorosítása</w:t>
      </w:r>
      <w:r>
        <w:rPr>
          <w:spacing w:val="-4"/>
        </w:rPr>
        <w:t> </w:t>
      </w:r>
      <w:r>
        <w:rPr/>
        <w:t>érdekében</w:t>
      </w:r>
      <w:r>
        <w:rPr>
          <w:spacing w:val="-4"/>
        </w:rPr>
        <w:t> </w:t>
      </w:r>
      <w:r>
        <w:rPr/>
        <w:t>közvetlenül a szerzői jog tulajdonosához kell engedélyért fordulni.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8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277186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825699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2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26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12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Európai</w:t>
      </w:r>
      <w:r>
        <w:rPr>
          <w:rFonts w:ascii="Gill Sans MT" w:hAnsi="Gill Sans MT"/>
          <w:spacing w:val="-11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Unió,</w:t>
      </w:r>
      <w:r>
        <w:rPr>
          <w:rFonts w:ascii="Gill Sans MT" w:hAnsi="Gill Sans MT"/>
          <w:spacing w:val="-12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[évszám]</w:t>
      </w:r>
    </w:p>
    <w:p>
      <w:pPr>
        <w:spacing w:line="268" w:lineRule="auto"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további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felhasználás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engedélyezett,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amennyiben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forrást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feltüntetik,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és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dokumentum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eredeti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jelentése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és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üzenete nem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torzul.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Az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Európai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Bizottság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nem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tehető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felelőssé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kiadvány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további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felhasználásából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eredő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következményekért. Az Európai Bizottság dokumentumainak további felhasználására vonatkozó politikát a bizottsági dokumentumok további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felhasználásáról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szóló,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2011.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december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12-i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2011/833/EU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bizottsági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határozat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(HL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330.,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2011.12.14.,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39.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o., ELI: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w w:val="110"/>
          <w:sz w:val="18"/>
          <w:u w:val="none"/>
        </w:rPr>
        <w:t>) hajtja végre.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1120"/>
        </w:sectPr>
      </w:pPr>
    </w:p>
    <w:p>
      <w:pPr>
        <w:pStyle w:val="Heading1"/>
        <w:spacing w:before="76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spacing w:line="290" w:lineRule="auto" w:before="167"/>
        <w:ind w:left="443" w:right="669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</w:t>
      </w:r>
      <w:r>
        <w:rPr>
          <w:spacing w:val="-4"/>
          <w:sz w:val="22"/>
        </w:rPr>
        <w:t> </w:t>
      </w:r>
      <w:r>
        <w:rPr>
          <w:sz w:val="22"/>
        </w:rPr>
        <w:t>területén</w:t>
      </w:r>
      <w:r>
        <w:rPr>
          <w:spacing w:val="-4"/>
          <w:sz w:val="22"/>
        </w:rPr>
        <w:t> </w:t>
      </w:r>
      <w:r>
        <w:rPr>
          <w:sz w:val="22"/>
        </w:rPr>
        <w:t>több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működik.</w:t>
      </w:r>
      <w:r>
        <w:rPr>
          <w:spacing w:val="-4"/>
          <w:sz w:val="22"/>
        </w:rPr>
        <w:t> </w:t>
      </w:r>
      <w:r>
        <w:rPr>
          <w:sz w:val="22"/>
        </w:rPr>
        <w:t>Keresse</w:t>
      </w:r>
      <w:r>
        <w:rPr>
          <w:spacing w:val="-4"/>
          <w:sz w:val="22"/>
        </w:rPr>
        <w:t> </w:t>
      </w:r>
      <w:r>
        <w:rPr>
          <w:sz w:val="22"/>
        </w:rPr>
        <w:t>meg</w:t>
      </w:r>
      <w:r>
        <w:rPr>
          <w:spacing w:val="-4"/>
          <w:sz w:val="22"/>
        </w:rPr>
        <w:t> </w:t>
      </w:r>
      <w:r>
        <w:rPr>
          <w:sz w:val="22"/>
        </w:rPr>
        <w:t>online</w:t>
      </w:r>
      <w:r>
        <w:rPr>
          <w:spacing w:val="-4"/>
          <w:sz w:val="22"/>
        </w:rPr>
        <w:t> </w:t>
      </w:r>
      <w:r>
        <w:rPr>
          <w:sz w:val="22"/>
        </w:rPr>
        <w:t>az Önhöz legközelebb eső központot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european-union.europa.eu/contact-eu/meet-us_hu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spacing w:line="290" w:lineRule="auto" w:before="166"/>
        <w:ind w:left="443" w:right="796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központok</w:t>
      </w:r>
      <w:r>
        <w:rPr>
          <w:spacing w:val="-5"/>
          <w:sz w:val="22"/>
        </w:rPr>
        <w:t> </w:t>
      </w:r>
      <w:r>
        <w:rPr>
          <w:sz w:val="22"/>
        </w:rPr>
        <w:t>feladata,</w:t>
      </w:r>
      <w:r>
        <w:rPr>
          <w:spacing w:val="-5"/>
          <w:sz w:val="22"/>
        </w:rPr>
        <w:t> </w:t>
      </w:r>
      <w:r>
        <w:rPr>
          <w:sz w:val="22"/>
        </w:rPr>
        <w:t>hogy</w:t>
      </w:r>
      <w:r>
        <w:rPr>
          <w:spacing w:val="-5"/>
          <w:sz w:val="22"/>
        </w:rPr>
        <w:t> </w:t>
      </w:r>
      <w:r>
        <w:rPr>
          <w:sz w:val="22"/>
        </w:rPr>
        <w:t>megválaszolják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polgárok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Unióval kapcsolatos kérdéseit. Vegye igénybe a szolgáltatást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724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53" w:after="0"/>
        <w:ind w:left="1163" w:right="766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10"/>
          <w:sz w:val="22"/>
        </w:rPr>
        <w:t> </w:t>
      </w:r>
      <w:r>
        <w:rPr>
          <w:sz w:val="22"/>
        </w:rPr>
        <w:t>alábbi</w:t>
      </w:r>
      <w:r>
        <w:rPr>
          <w:spacing w:val="-10"/>
          <w:sz w:val="22"/>
        </w:rPr>
        <w:t> </w:t>
      </w:r>
      <w:r>
        <w:rPr>
          <w:sz w:val="22"/>
        </w:rPr>
        <w:t>nyomtatvány</w:t>
      </w:r>
      <w:r>
        <w:rPr>
          <w:spacing w:val="-10"/>
          <w:sz w:val="22"/>
        </w:rPr>
        <w:t> </w:t>
      </w:r>
      <w:r>
        <w:rPr>
          <w:sz w:val="22"/>
        </w:rPr>
        <w:t>használatával:</w:t>
      </w:r>
      <w:r>
        <w:rPr>
          <w:spacing w:val="-9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</w:hyperlink>
      <w:r>
        <w:rPr>
          <w:color w:val="337AB7"/>
          <w:sz w:val="22"/>
          <w:u w:val="none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6"/>
        <w:ind w:left="0"/>
        <w:rPr>
          <w:sz w:val="22"/>
        </w:rPr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7"/>
        <w:ind w:left="443" w:right="358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tájékoztatással</w:t>
      </w:r>
      <w:r>
        <w:rPr>
          <w:spacing w:val="-5"/>
          <w:sz w:val="22"/>
        </w:rPr>
        <w:t> </w:t>
      </w:r>
      <w:r>
        <w:rPr>
          <w:sz w:val="22"/>
        </w:rPr>
        <w:t>szolgál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Unióról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összes</w:t>
      </w:r>
      <w:r>
        <w:rPr>
          <w:spacing w:val="-5"/>
          <w:sz w:val="22"/>
        </w:rPr>
        <w:t> </w:t>
      </w:r>
      <w:r>
        <w:rPr>
          <w:sz w:val="22"/>
        </w:rPr>
        <w:t>hivatalos</w:t>
      </w:r>
      <w:r>
        <w:rPr>
          <w:spacing w:val="-5"/>
          <w:sz w:val="22"/>
        </w:rPr>
        <w:t> </w:t>
      </w:r>
      <w:r>
        <w:rPr>
          <w:sz w:val="22"/>
        </w:rPr>
        <w:t>nyelvén </w:t>
      </w: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spacing w:line="290" w:lineRule="auto" w:before="166"/>
        <w:ind w:left="443" w:right="475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6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op.europa.eu/hu/publications</w:t>
        </w:r>
      </w:hyperlink>
      <w:r>
        <w:rPr>
          <w:sz w:val="22"/>
          <w:u w:val="none"/>
        </w:rPr>
        <w:t>címen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uniós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kiadványok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tekinthetők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meg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rendelhetők.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Ha bizonyos ingyenes kiadványokból több példányra van szüksége, rendeljen a Europe Direct központtól vagy hazájának helyi dokumentációs központjától (</w:t>
      </w:r>
      <w:hyperlink r:id="rId10">
        <w:r>
          <w:rPr>
            <w:color w:val="337AB7"/>
            <w:sz w:val="22"/>
            <w:u w:val="single" w:color="337AB7"/>
          </w:rPr>
          <w:t>european-union.europa.eu/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contact-eu/meet-us_hu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spacing w:line="290" w:lineRule="auto" w:before="167"/>
        <w:ind w:left="443" w:right="669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portálon</w:t>
      </w:r>
      <w:r>
        <w:rPr>
          <w:spacing w:val="-4"/>
          <w:sz w:val="22"/>
        </w:rPr>
        <w:t> </w:t>
      </w:r>
      <w:r>
        <w:rPr>
          <w:sz w:val="22"/>
        </w:rPr>
        <w:t>bármelyik</w:t>
      </w:r>
      <w:r>
        <w:rPr>
          <w:spacing w:val="-4"/>
          <w:sz w:val="22"/>
        </w:rPr>
        <w:t> </w:t>
      </w:r>
      <w:r>
        <w:rPr>
          <w:sz w:val="22"/>
        </w:rPr>
        <w:t>hivatalos</w:t>
      </w:r>
      <w:r>
        <w:rPr>
          <w:spacing w:val="-4"/>
          <w:sz w:val="22"/>
        </w:rPr>
        <w:t> </w:t>
      </w:r>
      <w:r>
        <w:rPr>
          <w:sz w:val="22"/>
        </w:rPr>
        <w:t>nyelven</w:t>
      </w:r>
      <w:r>
        <w:rPr>
          <w:spacing w:val="-4"/>
          <w:sz w:val="22"/>
        </w:rPr>
        <w:t> </w:t>
      </w:r>
      <w:r>
        <w:rPr>
          <w:sz w:val="22"/>
        </w:rPr>
        <w:t>hozzáférhetők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jogi</w:t>
      </w:r>
      <w:r>
        <w:rPr>
          <w:spacing w:val="-4"/>
          <w:sz w:val="22"/>
        </w:rPr>
        <w:t> </w:t>
      </w:r>
      <w:r>
        <w:rPr>
          <w:sz w:val="22"/>
        </w:rPr>
        <w:t>tartalmai</w:t>
      </w:r>
      <w:r>
        <w:rPr>
          <w:spacing w:val="-4"/>
          <w:sz w:val="22"/>
        </w:rPr>
        <w:t> </w:t>
      </w:r>
      <w:r>
        <w:rPr>
          <w:sz w:val="22"/>
        </w:rPr>
        <w:t>és</w:t>
      </w:r>
      <w:r>
        <w:rPr>
          <w:spacing w:val="-4"/>
          <w:sz w:val="22"/>
        </w:rPr>
        <w:t> </w:t>
      </w:r>
      <w:r>
        <w:rPr>
          <w:sz w:val="22"/>
        </w:rPr>
        <w:t>az 1951-től megjelenő jogszabályai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spacing w:line="290" w:lineRule="auto" w:before="166"/>
        <w:ind w:left="443" w:right="143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„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sz w:val="22"/>
          <w:u w:val="none"/>
        </w:rPr>
        <w:t>”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portálon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uniós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intézmények,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szervek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ügynökségek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nyílt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hozzáférésű adatkészletei érhetők el. Az adatok ingyen letölthetők és felhasználhatók, úgy kereskedelmi, mint nem kereskedelmi célokra. Emellett a portálon keresztül a különböző európai országok számos adatkészlete elérhető.</w:t>
      </w:r>
    </w:p>
    <w:sectPr>
      <w:pgSz w:w="11910" w:h="16840"/>
      <w:pgMar w:top="880" w:bottom="280" w:left="86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2036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913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790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667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44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421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298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175" w:hanging="400"/>
      </w:pPr>
      <w:rPr>
        <w:rFonts w:hint="default"/>
        <w:lang w:val="hu-H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406" w:hanging="3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353" w:hanging="3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300" w:hanging="3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247" w:hanging="3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194" w:hanging="3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141" w:hanging="3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088" w:hanging="3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035" w:hanging="3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84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689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594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499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404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309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214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119" w:hanging="380"/>
      </w:pPr>
      <w:rPr>
        <w:rFonts w:hint="default"/>
        <w:lang w:val="hu-H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deed.hu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u" TargetMode="External"/><Relationship Id="rId11" Type="http://schemas.openxmlformats.org/officeDocument/2006/relationships/hyperlink" Target="https://european-union.europa.eu/contact-eu/write-us_hu" TargetMode="External"/><Relationship Id="rId12" Type="http://schemas.openxmlformats.org/officeDocument/2006/relationships/hyperlink" Target="https://european-union.europa.eu/index_hu" TargetMode="External"/><Relationship Id="rId13" Type="http://schemas.openxmlformats.org/officeDocument/2006/relationships/hyperlink" Target="https://op.europa.eu/hu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u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HU</dc:title>
  <dcterms:created xsi:type="dcterms:W3CDTF">2025-01-14T14:17:38Z</dcterms:created>
  <dcterms:modified xsi:type="dcterms:W3CDTF">2025-01-14T14:17:38Z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