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44" w:lineRule="auto" w:before="77"/>
        <w:ind w:left="160" w:right="2542"/>
      </w:pPr>
      <w:bookmarkStart w:name="European Central Bank (ECB) and bodies/a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4"/>
        </w:rPr>
        <w:t> </w:t>
      </w:r>
      <w:r>
        <w:rPr>
          <w:color w:val="FF0000"/>
        </w:rPr>
        <w:t>Central</w:t>
      </w:r>
      <w:r>
        <w:rPr>
          <w:color w:val="FF0000"/>
          <w:spacing w:val="-4"/>
        </w:rPr>
        <w:t> </w:t>
      </w:r>
      <w:r>
        <w:rPr>
          <w:color w:val="FF0000"/>
        </w:rPr>
        <w:t>Bank</w:t>
      </w:r>
      <w:r>
        <w:rPr>
          <w:color w:val="FF0000"/>
          <w:spacing w:val="-4"/>
        </w:rPr>
        <w:t> </w:t>
      </w:r>
      <w:r>
        <w:rPr>
          <w:color w:val="FF0000"/>
        </w:rPr>
        <w:t>(ECB)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4"/>
        </w:rPr>
        <w:t> </w:t>
      </w:r>
      <w:r>
        <w:rPr>
          <w:color w:val="FF0000"/>
        </w:rPr>
        <w:t>bodies/agencies</w:t>
      </w:r>
      <w:r>
        <w:rPr>
          <w:color w:val="FF0000"/>
          <w:spacing w:val="-5"/>
        </w:rPr>
        <w:t> </w:t>
      </w:r>
      <w:r>
        <w:rPr>
          <w:color w:val="FF0000"/>
          <w:u w:val="single" w:color="FF0000"/>
        </w:rPr>
        <w:t>with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SL (NB: The Commission’s executive agencies have their own liminary pages.)</w:t>
      </w:r>
    </w:p>
    <w:p>
      <w:pPr>
        <w:pStyle w:val="BodyText"/>
        <w:spacing w:before="92"/>
      </w:pPr>
    </w:p>
    <w:p>
      <w:pPr>
        <w:spacing w:before="0"/>
        <w:ind w:left="160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[tiskarna]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[država]</w:t>
      </w:r>
    </w:p>
    <w:p>
      <w:pPr>
        <w:pStyle w:val="BodyText"/>
        <w:spacing w:line="560" w:lineRule="atLeast"/>
        <w:ind w:left="160" w:right="5536"/>
      </w:pPr>
      <w:r>
        <w:rPr/>
        <w:t>Rokopis je bil dokončan [mesec] [leto] Revidirana</w:t>
      </w:r>
      <w:r>
        <w:rPr>
          <w:spacing w:val="-13"/>
        </w:rPr>
        <w:t> </w:t>
      </w:r>
      <w:r>
        <w:rPr/>
        <w:t>izdaja/Popravljena</w:t>
      </w:r>
      <w:r>
        <w:rPr>
          <w:spacing w:val="-13"/>
        </w:rPr>
        <w:t> </w:t>
      </w:r>
      <w:r>
        <w:rPr/>
        <w:t>izdaja/n.</w:t>
      </w:r>
      <w:r>
        <w:rPr>
          <w:spacing w:val="-13"/>
        </w:rPr>
        <w:t> </w:t>
      </w:r>
      <w:r>
        <w:rPr/>
        <w:t>izdaja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83" w:lineRule="auto" w:before="98"/>
        <w:ind w:left="160" w:right="2542"/>
      </w:pPr>
      <w:r>
        <w:rPr/>
        <w:t>Ta</w:t>
      </w:r>
      <w:r>
        <w:rPr>
          <w:spacing w:val="-9"/>
        </w:rPr>
        <w:t> </w:t>
      </w:r>
      <w:r>
        <w:rPr/>
        <w:t>dokument</w:t>
      </w:r>
      <w:r>
        <w:rPr>
          <w:spacing w:val="-9"/>
        </w:rPr>
        <w:t> </w:t>
      </w:r>
      <w:r>
        <w:rPr/>
        <w:t>ni</w:t>
      </w:r>
      <w:r>
        <w:rPr>
          <w:spacing w:val="-9"/>
        </w:rPr>
        <w:t> </w:t>
      </w:r>
      <w:r>
        <w:rPr/>
        <w:t>uradno</w:t>
      </w:r>
      <w:r>
        <w:rPr>
          <w:spacing w:val="-9"/>
        </w:rPr>
        <w:t> </w:t>
      </w:r>
      <w:r>
        <w:rPr/>
        <w:t>stališče</w:t>
      </w:r>
      <w:r>
        <w:rPr>
          <w:spacing w:val="-9"/>
        </w:rPr>
        <w:t> </w:t>
      </w:r>
      <w:r>
        <w:rPr/>
        <w:t>[Evropske</w:t>
      </w:r>
      <w:r>
        <w:rPr>
          <w:spacing w:val="-9"/>
        </w:rPr>
        <w:t> </w:t>
      </w:r>
      <w:r>
        <w:rPr/>
        <w:t>centralne</w:t>
      </w:r>
      <w:r>
        <w:rPr>
          <w:spacing w:val="-9"/>
        </w:rPr>
        <w:t> </w:t>
      </w:r>
      <w:r>
        <w:rPr/>
        <w:t>banke/organa/agencije]. Luxembourg: Urad za publikacije Evropske unije, [letnica]</w:t>
      </w:r>
    </w:p>
    <w:p>
      <w:pPr>
        <w:pStyle w:val="BodyText"/>
        <w:spacing w:line="228" w:lineRule="exact"/>
        <w:ind w:left="160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line="348" w:lineRule="auto" w:before="104"/>
        <w:ind w:left="160" w:right="23"/>
      </w:pPr>
      <w:r>
        <w:rPr/>
        <w:t>©</w:t>
      </w:r>
      <w:r>
        <w:rPr>
          <w:spacing w:val="-6"/>
        </w:rPr>
        <w:t> </w:t>
      </w:r>
      <w:r>
        <w:rPr/>
        <w:t>[Evropska</w:t>
      </w:r>
      <w:r>
        <w:rPr>
          <w:spacing w:val="-6"/>
        </w:rPr>
        <w:t> </w:t>
      </w:r>
      <w:r>
        <w:rPr/>
        <w:t>centralna</w:t>
      </w:r>
      <w:r>
        <w:rPr>
          <w:spacing w:val="-6"/>
        </w:rPr>
        <w:t> </w:t>
      </w:r>
      <w:r>
        <w:rPr/>
        <w:t>banka/organ/agencija/Evropska</w:t>
      </w:r>
      <w:r>
        <w:rPr>
          <w:spacing w:val="-6"/>
        </w:rPr>
        <w:t> </w:t>
      </w:r>
      <w:r>
        <w:rPr/>
        <w:t>skupnost</w:t>
      </w:r>
      <w:r>
        <w:rPr>
          <w:spacing w:val="-6"/>
        </w:rPr>
        <w:t> </w:t>
      </w:r>
      <w:r>
        <w:rPr/>
        <w:t>za</w:t>
      </w:r>
      <w:r>
        <w:rPr>
          <w:spacing w:val="-6"/>
        </w:rPr>
        <w:t> </w:t>
      </w:r>
      <w:r>
        <w:rPr/>
        <w:t>atomsko</w:t>
      </w:r>
      <w:r>
        <w:rPr>
          <w:spacing w:val="-6"/>
        </w:rPr>
        <w:t> </w:t>
      </w:r>
      <w:r>
        <w:rPr/>
        <w:t>energijo/itd.],</w:t>
      </w:r>
      <w:r>
        <w:rPr>
          <w:spacing w:val="-6"/>
        </w:rPr>
        <w:t> </w:t>
      </w:r>
      <w:r>
        <w:rPr/>
        <w:t>[letnica] Reprodukcija je dovoljena z navedbo vira.</w:t>
      </w:r>
    </w:p>
    <w:p>
      <w:pPr>
        <w:pStyle w:val="BodyText"/>
        <w:spacing w:before="226"/>
        <w:ind w:left="160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60" w:right="23"/>
      </w:pPr>
      <w:r>
        <w:rPr/>
        <w:t>Za</w:t>
      </w:r>
      <w:r>
        <w:rPr>
          <w:spacing w:val="-5"/>
        </w:rPr>
        <w:t> </w:t>
      </w:r>
      <w:r>
        <w:rPr/>
        <w:t>uporabo</w:t>
      </w:r>
      <w:r>
        <w:rPr>
          <w:spacing w:val="-5"/>
        </w:rPr>
        <w:t> </w:t>
      </w:r>
      <w:r>
        <w:rPr/>
        <w:t>ali</w:t>
      </w:r>
      <w:r>
        <w:rPr>
          <w:spacing w:val="-5"/>
        </w:rPr>
        <w:t> </w:t>
      </w:r>
      <w:r>
        <w:rPr/>
        <w:t>reprodukcijo</w:t>
      </w:r>
      <w:r>
        <w:rPr>
          <w:spacing w:val="-5"/>
        </w:rPr>
        <w:t> </w:t>
      </w:r>
      <w:r>
        <w:rPr/>
        <w:t>elementov,</w:t>
      </w:r>
      <w:r>
        <w:rPr>
          <w:spacing w:val="-5"/>
        </w:rPr>
        <w:t> </w:t>
      </w:r>
      <w:r>
        <w:rPr/>
        <w:t>ki</w:t>
      </w:r>
      <w:r>
        <w:rPr>
          <w:spacing w:val="-5"/>
        </w:rPr>
        <w:t> </w:t>
      </w:r>
      <w:r>
        <w:rPr/>
        <w:t>niso</w:t>
      </w:r>
      <w:r>
        <w:rPr>
          <w:spacing w:val="-5"/>
        </w:rPr>
        <w:t> </w:t>
      </w:r>
      <w:r>
        <w:rPr/>
        <w:t>last</w:t>
      </w:r>
      <w:r>
        <w:rPr>
          <w:spacing w:val="-5"/>
        </w:rPr>
        <w:t> </w:t>
      </w:r>
      <w:r>
        <w:rPr/>
        <w:t>[Evropska</w:t>
      </w:r>
      <w:r>
        <w:rPr>
          <w:spacing w:val="-5"/>
        </w:rPr>
        <w:t> </w:t>
      </w:r>
      <w:r>
        <w:rPr/>
        <w:t>centralna</w:t>
      </w:r>
      <w:r>
        <w:rPr>
          <w:spacing w:val="-5"/>
        </w:rPr>
        <w:t> </w:t>
      </w:r>
      <w:r>
        <w:rPr/>
        <w:t>banka/organ/agencija],</w:t>
      </w:r>
      <w:r>
        <w:rPr>
          <w:spacing w:val="-5"/>
        </w:rPr>
        <w:t> </w:t>
      </w:r>
      <w:r>
        <w:rPr/>
        <w:t>je</w:t>
      </w:r>
      <w:r>
        <w:rPr>
          <w:spacing w:val="-5"/>
        </w:rPr>
        <w:t> </w:t>
      </w:r>
      <w:r>
        <w:rPr/>
        <w:t>morda</w:t>
      </w:r>
      <w:r>
        <w:rPr>
          <w:spacing w:val="-5"/>
        </w:rPr>
        <w:t> </w:t>
      </w:r>
      <w:r>
        <w:rPr/>
        <w:t>treba za dovoljenje zaprositi neposredno imetnike pravic. [Evropska centralna banka/organ/agencija] ni [imetnica/ imetnik] avtorskih pravic v zvezi z naslednjimi elementi: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8" w:after="0"/>
        <w:ind w:left="880" w:right="0" w:hanging="380"/>
        <w:jc w:val="left"/>
        <w:rPr>
          <w:sz w:val="20"/>
        </w:rPr>
      </w:pPr>
      <w:r>
        <w:rPr>
          <w:sz w:val="20"/>
        </w:rPr>
        <w:t>naslovnica,</w:t>
      </w:r>
      <w:r>
        <w:rPr>
          <w:spacing w:val="-10"/>
          <w:sz w:val="20"/>
        </w:rPr>
        <w:t> </w:t>
      </w:r>
      <w:r>
        <w:rPr>
          <w:sz w:val="20"/>
        </w:rPr>
        <w:t>[element],</w:t>
      </w:r>
      <w:r>
        <w:rPr>
          <w:spacing w:val="-9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vir:</w:t>
      </w:r>
      <w:r>
        <w:rPr>
          <w:i/>
          <w:spacing w:val="-8"/>
          <w:sz w:val="20"/>
        </w:rPr>
        <w:t> </w:t>
      </w:r>
      <w:r>
        <w:rPr>
          <w:sz w:val="20"/>
        </w:rPr>
        <w:t>npr.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stran</w:t>
      </w:r>
      <w:r>
        <w:rPr>
          <w:spacing w:val="-9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[element],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vir:</w:t>
      </w:r>
      <w:r>
        <w:rPr>
          <w:i/>
          <w:spacing w:val="-6"/>
          <w:sz w:val="20"/>
        </w:rPr>
        <w:t> </w:t>
      </w:r>
      <w:r>
        <w:rPr>
          <w:sz w:val="20"/>
        </w:rPr>
        <w:t>npr.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[avtor],</w:t>
      </w:r>
      <w:r>
        <w:rPr>
          <w:spacing w:val="-6"/>
          <w:sz w:val="20"/>
        </w:rPr>
        <w:t> </w:t>
      </w:r>
      <w:r>
        <w:rPr>
          <w:sz w:val="20"/>
        </w:rPr>
        <w:t>vse</w:t>
      </w:r>
      <w:r>
        <w:rPr>
          <w:spacing w:val="-6"/>
          <w:sz w:val="20"/>
        </w:rPr>
        <w:t> </w:t>
      </w:r>
      <w:r>
        <w:rPr>
          <w:sz w:val="20"/>
        </w:rPr>
        <w:t>pravice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pridržane,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stran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[element],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vir:</w:t>
      </w:r>
      <w:r>
        <w:rPr>
          <w:i/>
          <w:spacing w:val="-4"/>
          <w:sz w:val="20"/>
        </w:rPr>
        <w:t> </w:t>
      </w:r>
      <w:r>
        <w:rPr>
          <w:sz w:val="20"/>
        </w:rPr>
        <w:t>npr.</w:t>
      </w:r>
      <w:r>
        <w:rPr>
          <w:spacing w:val="-5"/>
          <w:sz w:val="20"/>
        </w:rPr>
        <w:t> </w:t>
      </w:r>
      <w:r>
        <w:rPr>
          <w:sz w:val="20"/>
        </w:rPr>
        <w:t>Getty</w:t>
      </w:r>
      <w:r>
        <w:rPr>
          <w:spacing w:val="-5"/>
          <w:sz w:val="20"/>
        </w:rPr>
        <w:t> </w:t>
      </w:r>
      <w:r>
        <w:rPr>
          <w:sz w:val="20"/>
        </w:rPr>
        <w:t>Images],</w:t>
      </w:r>
      <w:r>
        <w:rPr>
          <w:spacing w:val="-5"/>
          <w:sz w:val="20"/>
        </w:rPr>
        <w:t> </w:t>
      </w:r>
      <w:r>
        <w:rPr>
          <w:sz w:val="20"/>
        </w:rPr>
        <w:t>[avtor],</w:t>
      </w:r>
      <w:r>
        <w:rPr>
          <w:spacing w:val="-4"/>
          <w:sz w:val="20"/>
        </w:rPr>
        <w:t> </w:t>
      </w:r>
      <w:r>
        <w:rPr>
          <w:sz w:val="20"/>
        </w:rPr>
        <w:t>licenca</w:t>
      </w:r>
      <w:r>
        <w:rPr>
          <w:spacing w:val="-5"/>
          <w:sz w:val="20"/>
        </w:rPr>
        <w:t> </w:t>
      </w:r>
      <w:r>
        <w:rPr>
          <w:sz w:val="20"/>
        </w:rPr>
        <w:t>CC</w:t>
      </w:r>
      <w:r>
        <w:rPr>
          <w:spacing w:val="-5"/>
          <w:sz w:val="20"/>
        </w:rPr>
        <w:t> </w:t>
      </w:r>
      <w:r>
        <w:rPr>
          <w:sz w:val="20"/>
        </w:rPr>
        <w:t>BY</w:t>
      </w:r>
      <w:r>
        <w:rPr>
          <w:spacing w:val="-5"/>
          <w:sz w:val="20"/>
        </w:rPr>
        <w:t> </w:t>
      </w:r>
      <w:r>
        <w:rPr>
          <w:sz w:val="20"/>
        </w:rPr>
        <w:t>2.0</w:t>
      </w:r>
      <w:r>
        <w:rPr>
          <w:spacing w:val="-5"/>
          <w:sz w:val="20"/>
        </w:rPr>
        <w:t> </w:t>
      </w:r>
      <w:r>
        <w:rPr>
          <w:sz w:val="20"/>
        </w:rPr>
        <w:t>[+</w:t>
      </w:r>
      <w:r>
        <w:rPr>
          <w:spacing w:val="-5"/>
          <w:sz w:val="20"/>
        </w:rPr>
        <w:t> </w:t>
      </w:r>
      <w:r>
        <w:rPr>
          <w:sz w:val="20"/>
        </w:rPr>
        <w:t>povezava</w:t>
      </w:r>
      <w:r>
        <w:rPr>
          <w:spacing w:val="-5"/>
          <w:sz w:val="20"/>
        </w:rPr>
        <w:t> </w:t>
      </w:r>
      <w:r>
        <w:rPr>
          <w:sz w:val="20"/>
        </w:rPr>
        <w:t>na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licenco],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[ilustracija/fotografija/itd.],</w:t>
      </w:r>
      <w:r>
        <w:rPr>
          <w:spacing w:val="-9"/>
          <w:sz w:val="20"/>
        </w:rPr>
        <w:t> </w:t>
      </w:r>
      <w:r>
        <w:rPr>
          <w:sz w:val="20"/>
        </w:rPr>
        <w:t>str.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6"/>
          <w:sz w:val="20"/>
        </w:rPr>
        <w:t> </w:t>
      </w:r>
      <w:r>
        <w:rPr>
          <w:sz w:val="20"/>
        </w:rPr>
        <w:t>[ime</w:t>
      </w:r>
      <w:r>
        <w:rPr>
          <w:spacing w:val="-7"/>
          <w:sz w:val="20"/>
        </w:rPr>
        <w:t> </w:t>
      </w:r>
      <w:r>
        <w:rPr>
          <w:sz w:val="20"/>
        </w:rPr>
        <w:t>in</w:t>
      </w:r>
      <w:r>
        <w:rPr>
          <w:spacing w:val="-7"/>
          <w:sz w:val="20"/>
        </w:rPr>
        <w:t> </w:t>
      </w:r>
      <w:r>
        <w:rPr>
          <w:sz w:val="20"/>
        </w:rPr>
        <w:t>priimek</w:t>
      </w:r>
      <w:r>
        <w:rPr>
          <w:spacing w:val="-7"/>
          <w:sz w:val="20"/>
        </w:rPr>
        <w:t> </w:t>
      </w:r>
      <w:r>
        <w:rPr>
          <w:sz w:val="20"/>
        </w:rPr>
        <w:t>umetnika],</w:t>
      </w:r>
      <w:r>
        <w:rPr>
          <w:spacing w:val="-6"/>
          <w:sz w:val="20"/>
        </w:rPr>
        <w:t> </w:t>
      </w:r>
      <w:r>
        <w:rPr>
          <w:sz w:val="20"/>
        </w:rPr>
        <w:t>[letnica],</w:t>
      </w:r>
      <w:r>
        <w:rPr>
          <w:spacing w:val="-7"/>
          <w:sz w:val="20"/>
        </w:rPr>
        <w:t> </w:t>
      </w:r>
      <w:r>
        <w:rPr>
          <w:sz w:val="20"/>
        </w:rPr>
        <w:t>vse</w:t>
      </w:r>
      <w:r>
        <w:rPr>
          <w:spacing w:val="-7"/>
          <w:sz w:val="20"/>
        </w:rPr>
        <w:t> </w:t>
      </w:r>
      <w:r>
        <w:rPr>
          <w:sz w:val="20"/>
        </w:rPr>
        <w:t>pravice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pridržane.</w:t>
      </w:r>
    </w:p>
    <w:p>
      <w:pPr>
        <w:pStyle w:val="BodyText"/>
        <w:spacing w:before="98"/>
      </w:pPr>
    </w:p>
    <w:p>
      <w:pPr>
        <w:pStyle w:val="BodyText"/>
        <w:ind w:left="160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60" w:right="23"/>
      </w:pPr>
      <w:r>
        <w:rPr/>
        <w:t>Za</w:t>
      </w:r>
      <w:r>
        <w:rPr>
          <w:spacing w:val="-5"/>
        </w:rPr>
        <w:t> </w:t>
      </w:r>
      <w:r>
        <w:rPr/>
        <w:t>uporabo</w:t>
      </w:r>
      <w:r>
        <w:rPr>
          <w:spacing w:val="-5"/>
        </w:rPr>
        <w:t> </w:t>
      </w:r>
      <w:r>
        <w:rPr/>
        <w:t>ali</w:t>
      </w:r>
      <w:r>
        <w:rPr>
          <w:spacing w:val="-5"/>
        </w:rPr>
        <w:t> </w:t>
      </w:r>
      <w:r>
        <w:rPr/>
        <w:t>reprodukcijo</w:t>
      </w:r>
      <w:r>
        <w:rPr>
          <w:spacing w:val="-5"/>
        </w:rPr>
        <w:t> </w:t>
      </w:r>
      <w:r>
        <w:rPr/>
        <w:t>elementov,</w:t>
      </w:r>
      <w:r>
        <w:rPr>
          <w:spacing w:val="-5"/>
        </w:rPr>
        <w:t> </w:t>
      </w:r>
      <w:r>
        <w:rPr/>
        <w:t>ki</w:t>
      </w:r>
      <w:r>
        <w:rPr>
          <w:spacing w:val="-5"/>
        </w:rPr>
        <w:t> </w:t>
      </w:r>
      <w:r>
        <w:rPr/>
        <w:t>niso</w:t>
      </w:r>
      <w:r>
        <w:rPr>
          <w:spacing w:val="-5"/>
        </w:rPr>
        <w:t> </w:t>
      </w:r>
      <w:r>
        <w:rPr/>
        <w:t>last</w:t>
      </w:r>
      <w:r>
        <w:rPr>
          <w:spacing w:val="-5"/>
        </w:rPr>
        <w:t> </w:t>
      </w:r>
      <w:r>
        <w:rPr/>
        <w:t>[Evropska</w:t>
      </w:r>
      <w:r>
        <w:rPr>
          <w:spacing w:val="-5"/>
        </w:rPr>
        <w:t> </w:t>
      </w:r>
      <w:r>
        <w:rPr/>
        <w:t>centralna</w:t>
      </w:r>
      <w:r>
        <w:rPr>
          <w:spacing w:val="-5"/>
        </w:rPr>
        <w:t> </w:t>
      </w:r>
      <w:r>
        <w:rPr/>
        <w:t>banka/organ/agencija],</w:t>
      </w:r>
      <w:r>
        <w:rPr>
          <w:spacing w:val="-5"/>
        </w:rPr>
        <w:t> </w:t>
      </w:r>
      <w:r>
        <w:rPr/>
        <w:t>je</w:t>
      </w:r>
      <w:r>
        <w:rPr>
          <w:spacing w:val="-5"/>
        </w:rPr>
        <w:t> </w:t>
      </w:r>
      <w:r>
        <w:rPr/>
        <w:t>morda</w:t>
      </w:r>
      <w:r>
        <w:rPr>
          <w:spacing w:val="-5"/>
        </w:rPr>
        <w:t> </w:t>
      </w:r>
      <w:r>
        <w:rPr/>
        <w:t>treba za dovoljenje zaprositi neposredno imetnike pravic.</w:t>
      </w:r>
    </w:p>
    <w:p>
      <w:pPr>
        <w:pStyle w:val="BodyText"/>
        <w:spacing w:before="128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6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190643</wp:posOffset>
                </wp:positionV>
                <wp:extent cx="1676400" cy="4445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15.011335pt;width:131.970001pt;height:.31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131" w:after="0"/>
        <w:ind w:left="460" w:right="302" w:hanging="300"/>
        <w:jc w:val="left"/>
        <w:rPr>
          <w:rFonts w:ascii="Gill Sans MT"/>
          <w:sz w:val="18"/>
        </w:rPr>
      </w:pPr>
      <w:bookmarkStart w:name="_bookmark2" w:id="4"/>
      <w:bookmarkEnd w:id="4"/>
      <w:r>
        <w:rPr/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5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Gill Sans MT"/>
          <w:color w:val="337AB7"/>
          <w:spacing w:val="-1"/>
          <w:w w:val="114"/>
          <w:position w:val="1"/>
          <w:sz w:val="18"/>
          <w:u w:val="none"/>
        </w:rPr>
      </w:r>
      <w:hyperlink r:id="rId5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6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6" w:lineRule="auto" w:before="44" w:after="0"/>
        <w:ind w:left="460" w:right="116" w:hanging="300"/>
        <w:jc w:val="left"/>
        <w:rPr>
          <w:rFonts w:ascii="Gill Sans MT"/>
          <w:sz w:val="18"/>
        </w:rPr>
      </w:pPr>
      <w:r>
        <w:rPr>
          <w:rFonts w:ascii="Gill Sans MT"/>
          <w:w w:val="110"/>
          <w:position w:val="1"/>
          <w:sz w:val="18"/>
        </w:rPr>
        <w:t>This is the standard copyright notice. Agencies and bodies applying an opener reuse policy or licensing their </w:t>
      </w:r>
      <w:r>
        <w:rPr>
          <w:rFonts w:ascii="Gill Sans MT"/>
          <w:w w:val="110"/>
          <w:sz w:val="18"/>
        </w:rPr>
        <w:t>publications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under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a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Creative-Commons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licence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may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take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inspiration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from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the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Commission's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liminary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pages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or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contact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OP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copyright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service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for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advice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(</w:t>
      </w:r>
      <w:hyperlink r:id="rId7">
        <w:r>
          <w:rPr>
            <w:rFonts w:ascii="Gill Sans MT"/>
            <w:color w:val="337AB7"/>
            <w:spacing w:val="-2"/>
            <w:w w:val="110"/>
            <w:sz w:val="18"/>
            <w:u w:val="single" w:color="337AB7"/>
          </w:rPr>
          <w:t>OP-COPYRIGHT@publications.europa.eu</w:t>
        </w:r>
      </w:hyperlink>
      <w:r>
        <w:rPr>
          <w:rFonts w:ascii="Gill Sans MT"/>
          <w:spacing w:val="-2"/>
          <w:w w:val="110"/>
          <w:sz w:val="18"/>
          <w:u w:val="none"/>
        </w:rPr>
        <w:t>).</w:t>
      </w:r>
    </w:p>
    <w:p>
      <w:pPr>
        <w:spacing w:after="0" w:line="266" w:lineRule="auto"/>
        <w:jc w:val="left"/>
        <w:rPr>
          <w:rFonts w:ascii="Gill Sans MT"/>
          <w:sz w:val="18"/>
        </w:rPr>
        <w:sectPr>
          <w:type w:val="continuous"/>
          <w:pgSz w:w="11910" w:h="16840"/>
          <w:pgMar w:top="640" w:bottom="280" w:left="860" w:right="1060"/>
        </w:sectPr>
      </w:pPr>
    </w:p>
    <w:p>
      <w:pPr>
        <w:pStyle w:val="Heading1"/>
        <w:spacing w:before="76"/>
      </w:pPr>
      <w:r>
        <w:rPr/>
        <w:t>Stik</w:t>
      </w:r>
      <w:r>
        <w:rPr>
          <w:spacing w:val="-3"/>
        </w:rPr>
        <w:t> </w:t>
      </w:r>
      <w:r>
        <w:rPr/>
        <w:t>z</w:t>
      </w:r>
      <w:r>
        <w:rPr>
          <w:spacing w:val="-2"/>
        </w:rPr>
        <w:t> </w:t>
      </w:r>
      <w:r>
        <w:rPr>
          <w:spacing w:val="-5"/>
        </w:rPr>
        <w:t>EU</w:t>
      </w:r>
    </w:p>
    <w:p>
      <w:pPr>
        <w:pStyle w:val="Heading2"/>
        <w:spacing w:before="155"/>
      </w:pPr>
      <w:r>
        <w:rPr>
          <w:spacing w:val="-2"/>
        </w:rPr>
        <w:t>Osebno</w:t>
      </w:r>
    </w:p>
    <w:p>
      <w:pPr>
        <w:spacing w:line="290" w:lineRule="auto" w:before="167"/>
        <w:ind w:left="443" w:right="0" w:firstLine="0"/>
        <w:jc w:val="left"/>
        <w:rPr>
          <w:sz w:val="22"/>
        </w:rPr>
      </w:pPr>
      <w:r>
        <w:rPr>
          <w:sz w:val="22"/>
        </w:rPr>
        <w:t>Po</w:t>
      </w:r>
      <w:r>
        <w:rPr>
          <w:spacing w:val="-3"/>
          <w:sz w:val="22"/>
        </w:rPr>
        <w:t> </w:t>
      </w:r>
      <w:r>
        <w:rPr>
          <w:sz w:val="22"/>
        </w:rPr>
        <w:t>vsej</w:t>
      </w:r>
      <w:r>
        <w:rPr>
          <w:spacing w:val="-3"/>
          <w:sz w:val="22"/>
        </w:rPr>
        <w:t> </w:t>
      </w:r>
      <w:r>
        <w:rPr>
          <w:sz w:val="22"/>
        </w:rPr>
        <w:t>Evropski</w:t>
      </w:r>
      <w:r>
        <w:rPr>
          <w:spacing w:val="-3"/>
          <w:sz w:val="22"/>
        </w:rPr>
        <w:t> </w:t>
      </w:r>
      <w:r>
        <w:rPr>
          <w:sz w:val="22"/>
        </w:rPr>
        <w:t>uniji</w:t>
      </w:r>
      <w:r>
        <w:rPr>
          <w:spacing w:val="-3"/>
          <w:sz w:val="22"/>
        </w:rPr>
        <w:t> </w:t>
      </w:r>
      <w:r>
        <w:rPr>
          <w:sz w:val="22"/>
        </w:rPr>
        <w:t>je</w:t>
      </w:r>
      <w:r>
        <w:rPr>
          <w:spacing w:val="-3"/>
          <w:sz w:val="22"/>
        </w:rPr>
        <w:t> </w:t>
      </w:r>
      <w:r>
        <w:rPr>
          <w:sz w:val="22"/>
        </w:rPr>
        <w:t>na</w:t>
      </w:r>
      <w:r>
        <w:rPr>
          <w:spacing w:val="-3"/>
          <w:sz w:val="22"/>
        </w:rPr>
        <w:t> </w:t>
      </w:r>
      <w:r>
        <w:rPr>
          <w:sz w:val="22"/>
        </w:rPr>
        <w:t>stotine</w:t>
      </w:r>
      <w:r>
        <w:rPr>
          <w:spacing w:val="-3"/>
          <w:sz w:val="22"/>
        </w:rPr>
        <w:t> </w:t>
      </w:r>
      <w:r>
        <w:rPr>
          <w:sz w:val="22"/>
        </w:rPr>
        <w:t>centrov</w:t>
      </w:r>
      <w:r>
        <w:rPr>
          <w:spacing w:val="-3"/>
          <w:sz w:val="22"/>
        </w:rPr>
        <w:t> </w:t>
      </w:r>
      <w:r>
        <w:rPr>
          <w:sz w:val="22"/>
        </w:rPr>
        <w:t>Europe</w:t>
      </w:r>
      <w:r>
        <w:rPr>
          <w:spacing w:val="-3"/>
          <w:sz w:val="22"/>
        </w:rPr>
        <w:t> </w:t>
      </w:r>
      <w:r>
        <w:rPr>
          <w:sz w:val="22"/>
        </w:rPr>
        <w:t>Direct.</w:t>
      </w:r>
      <w:r>
        <w:rPr>
          <w:spacing w:val="-3"/>
          <w:sz w:val="22"/>
        </w:rPr>
        <w:t> </w:t>
      </w:r>
      <w:r>
        <w:rPr>
          <w:sz w:val="22"/>
        </w:rPr>
        <w:t>Naslov</w:t>
      </w:r>
      <w:r>
        <w:rPr>
          <w:spacing w:val="-3"/>
          <w:sz w:val="22"/>
        </w:rPr>
        <w:t> </w:t>
      </w:r>
      <w:r>
        <w:rPr>
          <w:sz w:val="22"/>
        </w:rPr>
        <w:t>najbližjega</w:t>
      </w:r>
      <w:r>
        <w:rPr>
          <w:spacing w:val="-3"/>
          <w:sz w:val="22"/>
        </w:rPr>
        <w:t> </w:t>
      </w:r>
      <w:r>
        <w:rPr>
          <w:sz w:val="22"/>
        </w:rPr>
        <w:t>lahko</w:t>
      </w:r>
      <w:r>
        <w:rPr>
          <w:spacing w:val="-3"/>
          <w:sz w:val="22"/>
        </w:rPr>
        <w:t> </w:t>
      </w:r>
      <w:r>
        <w:rPr>
          <w:sz w:val="22"/>
        </w:rPr>
        <w:t>najdete</w:t>
      </w:r>
      <w:r>
        <w:rPr>
          <w:spacing w:val="-3"/>
          <w:sz w:val="22"/>
        </w:rPr>
        <w:t> </w:t>
      </w:r>
      <w:r>
        <w:rPr>
          <w:sz w:val="22"/>
        </w:rPr>
        <w:t>na spletu (</w:t>
      </w:r>
      <w:hyperlink r:id="rId8">
        <w:r>
          <w:rPr>
            <w:color w:val="337AB7"/>
            <w:sz w:val="22"/>
            <w:u w:val="single" w:color="337AB7"/>
          </w:rPr>
          <w:t>european-union.europa.eu/contact-eu/meet-us_sl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Po</w:t>
      </w:r>
      <w:r>
        <w:rPr>
          <w:spacing w:val="-5"/>
        </w:rPr>
        <w:t> </w:t>
      </w:r>
      <w:r>
        <w:rPr/>
        <w:t>telefonu</w:t>
      </w:r>
      <w:r>
        <w:rPr>
          <w:spacing w:val="-4"/>
        </w:rPr>
        <w:t> </w:t>
      </w:r>
      <w:r>
        <w:rPr/>
        <w:t>ali</w:t>
      </w:r>
      <w:r>
        <w:rPr>
          <w:spacing w:val="-4"/>
        </w:rPr>
        <w:t> </w:t>
      </w:r>
      <w:r>
        <w:rPr>
          <w:spacing w:val="-2"/>
        </w:rPr>
        <w:t>pisno</w:t>
      </w:r>
    </w:p>
    <w:p>
      <w:pPr>
        <w:spacing w:line="290" w:lineRule="auto" w:before="166"/>
        <w:ind w:left="443" w:right="596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je</w:t>
      </w:r>
      <w:r>
        <w:rPr>
          <w:spacing w:val="-4"/>
          <w:sz w:val="22"/>
        </w:rPr>
        <w:t> </w:t>
      </w:r>
      <w:r>
        <w:rPr>
          <w:sz w:val="22"/>
        </w:rPr>
        <w:t>služba,</w:t>
      </w:r>
      <w:r>
        <w:rPr>
          <w:spacing w:val="-4"/>
          <w:sz w:val="22"/>
        </w:rPr>
        <w:t> </w:t>
      </w:r>
      <w:r>
        <w:rPr>
          <w:sz w:val="22"/>
        </w:rPr>
        <w:t>ki</w:t>
      </w:r>
      <w:r>
        <w:rPr>
          <w:spacing w:val="-4"/>
          <w:sz w:val="22"/>
        </w:rPr>
        <w:t> </w:t>
      </w:r>
      <w:r>
        <w:rPr>
          <w:sz w:val="22"/>
        </w:rPr>
        <w:t>odgovarja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vaša</w:t>
      </w:r>
      <w:r>
        <w:rPr>
          <w:spacing w:val="-4"/>
          <w:sz w:val="22"/>
        </w:rPr>
        <w:t> </w:t>
      </w:r>
      <w:r>
        <w:rPr>
          <w:sz w:val="22"/>
        </w:rPr>
        <w:t>vprašanja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Evropski</w:t>
      </w:r>
      <w:r>
        <w:rPr>
          <w:spacing w:val="-4"/>
          <w:sz w:val="22"/>
        </w:rPr>
        <w:t> </w:t>
      </w:r>
      <w:r>
        <w:rPr>
          <w:sz w:val="22"/>
        </w:rPr>
        <w:t>uniji.</w:t>
      </w:r>
      <w:r>
        <w:rPr>
          <w:spacing w:val="-4"/>
          <w:sz w:val="22"/>
        </w:rPr>
        <w:t> </w:t>
      </w:r>
      <w:r>
        <w:rPr>
          <w:sz w:val="22"/>
        </w:rPr>
        <w:t>Nanjo</w:t>
      </w:r>
      <w:r>
        <w:rPr>
          <w:spacing w:val="-4"/>
          <w:sz w:val="22"/>
        </w:rPr>
        <w:t> </w:t>
      </w:r>
      <w:r>
        <w:rPr>
          <w:sz w:val="22"/>
        </w:rPr>
        <w:t>se</w:t>
      </w:r>
      <w:r>
        <w:rPr>
          <w:spacing w:val="-4"/>
          <w:sz w:val="22"/>
        </w:rPr>
        <w:t> </w:t>
      </w:r>
      <w:r>
        <w:rPr>
          <w:sz w:val="22"/>
        </w:rPr>
        <w:t>lahko </w:t>
      </w:r>
      <w:r>
        <w:rPr>
          <w:spacing w:val="-2"/>
          <w:sz w:val="22"/>
        </w:rPr>
        <w:t>obrnete: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88" w:lineRule="auto" w:before="113" w:after="0"/>
        <w:ind w:left="1163" w:right="687" w:hanging="400"/>
        <w:jc w:val="left"/>
        <w:rPr>
          <w:sz w:val="22"/>
        </w:rPr>
      </w:pPr>
      <w:r>
        <w:rPr>
          <w:sz w:val="22"/>
        </w:rPr>
        <w:t>s</w:t>
      </w:r>
      <w:r>
        <w:rPr>
          <w:spacing w:val="-4"/>
          <w:sz w:val="22"/>
        </w:rPr>
        <w:t> </w:t>
      </w:r>
      <w:r>
        <w:rPr>
          <w:sz w:val="22"/>
        </w:rPr>
        <w:t>klicem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brezplačno</w:t>
      </w:r>
      <w:r>
        <w:rPr>
          <w:spacing w:val="-4"/>
          <w:sz w:val="22"/>
        </w:rPr>
        <w:t> </w:t>
      </w:r>
      <w:r>
        <w:rPr>
          <w:sz w:val="22"/>
        </w:rPr>
        <w:t>telefonsko</w:t>
      </w:r>
      <w:r>
        <w:rPr>
          <w:spacing w:val="-4"/>
          <w:sz w:val="22"/>
        </w:rPr>
        <w:t> </w:t>
      </w:r>
      <w:r>
        <w:rPr>
          <w:sz w:val="22"/>
        </w:rPr>
        <w:t>številko: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(nekateri</w:t>
      </w:r>
      <w:r>
        <w:rPr>
          <w:spacing w:val="-4"/>
          <w:sz w:val="22"/>
        </w:rPr>
        <w:t> </w:t>
      </w:r>
      <w:r>
        <w:rPr>
          <w:sz w:val="22"/>
        </w:rPr>
        <w:t>ponudniki lahko klic zaračunajo),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s</w:t>
      </w:r>
      <w:r>
        <w:rPr>
          <w:spacing w:val="-5"/>
          <w:sz w:val="22"/>
        </w:rPr>
        <w:t> </w:t>
      </w:r>
      <w:r>
        <w:rPr>
          <w:sz w:val="22"/>
        </w:rPr>
        <w:t>klicem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navadno</w:t>
      </w:r>
      <w:r>
        <w:rPr>
          <w:spacing w:val="-4"/>
          <w:sz w:val="22"/>
        </w:rPr>
        <w:t> </w:t>
      </w:r>
      <w:r>
        <w:rPr>
          <w:sz w:val="22"/>
        </w:rPr>
        <w:t>telefonsko</w:t>
      </w:r>
      <w:r>
        <w:rPr>
          <w:spacing w:val="-5"/>
          <w:sz w:val="22"/>
        </w:rPr>
        <w:t> </w:t>
      </w:r>
      <w:r>
        <w:rPr>
          <w:sz w:val="22"/>
        </w:rPr>
        <w:t>številko: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pacing w:val="-2"/>
          <w:sz w:val="22"/>
        </w:rPr>
        <w:t>z</w:t>
      </w:r>
      <w:r>
        <w:rPr>
          <w:spacing w:val="17"/>
          <w:sz w:val="22"/>
        </w:rPr>
        <w:t> </w:t>
      </w:r>
      <w:r>
        <w:rPr>
          <w:spacing w:val="-2"/>
          <w:sz w:val="22"/>
        </w:rPr>
        <w:t>uporabo</w:t>
      </w:r>
      <w:r>
        <w:rPr>
          <w:spacing w:val="19"/>
          <w:sz w:val="22"/>
        </w:rPr>
        <w:t> </w:t>
      </w:r>
      <w:r>
        <w:rPr>
          <w:spacing w:val="-2"/>
          <w:sz w:val="22"/>
        </w:rPr>
        <w:t>obrazca:</w:t>
      </w:r>
      <w:r>
        <w:rPr>
          <w:spacing w:val="21"/>
          <w:sz w:val="22"/>
        </w:rPr>
        <w:t> </w:t>
      </w:r>
      <w:hyperlink r:id="rId9">
        <w:r>
          <w:rPr>
            <w:color w:val="337AB7"/>
            <w:spacing w:val="-2"/>
            <w:sz w:val="22"/>
            <w:u w:val="single" w:color="337AB7"/>
          </w:rPr>
          <w:t>european-union.europa.eu/contact-eu/write-us_sl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Iskanje</w:t>
      </w:r>
      <w:r>
        <w:rPr>
          <w:spacing w:val="-6"/>
        </w:rPr>
        <w:t> </w:t>
      </w:r>
      <w:r>
        <w:rPr/>
        <w:t>informacij</w:t>
      </w:r>
      <w:r>
        <w:rPr>
          <w:spacing w:val="-6"/>
        </w:rPr>
        <w:t> </w:t>
      </w:r>
      <w:r>
        <w:rPr/>
        <w:t>o</w:t>
      </w:r>
      <w:r>
        <w:rPr>
          <w:spacing w:val="-6"/>
        </w:rPr>
        <w:t> </w:t>
      </w:r>
      <w:r>
        <w:rPr>
          <w:spacing w:val="-5"/>
        </w:rPr>
        <w:t>EU</w:t>
      </w:r>
    </w:p>
    <w:p>
      <w:pPr>
        <w:pStyle w:val="Heading2"/>
        <w:spacing w:before="154"/>
      </w:pPr>
      <w:r>
        <w:rPr/>
        <w:t>Na</w:t>
      </w:r>
      <w:r>
        <w:rPr>
          <w:spacing w:val="-2"/>
        </w:rPr>
        <w:t> spletu</w:t>
      </w:r>
    </w:p>
    <w:p>
      <w:pPr>
        <w:spacing w:line="290" w:lineRule="auto" w:before="167"/>
        <w:ind w:left="443" w:right="0" w:firstLine="0"/>
        <w:jc w:val="left"/>
        <w:rPr>
          <w:sz w:val="22"/>
        </w:rPr>
      </w:pPr>
      <w:r>
        <w:rPr>
          <w:sz w:val="22"/>
        </w:rPr>
        <w:t>Informacije</w:t>
      </w:r>
      <w:r>
        <w:rPr>
          <w:spacing w:val="-3"/>
          <w:sz w:val="22"/>
        </w:rPr>
        <w:t> </w:t>
      </w:r>
      <w:r>
        <w:rPr>
          <w:sz w:val="22"/>
        </w:rPr>
        <w:t>o</w:t>
      </w:r>
      <w:r>
        <w:rPr>
          <w:spacing w:val="-3"/>
          <w:sz w:val="22"/>
        </w:rPr>
        <w:t> </w:t>
      </w:r>
      <w:r>
        <w:rPr>
          <w:sz w:val="22"/>
        </w:rPr>
        <w:t>Evropski</w:t>
      </w:r>
      <w:r>
        <w:rPr>
          <w:spacing w:val="-3"/>
          <w:sz w:val="22"/>
        </w:rPr>
        <w:t> </w:t>
      </w:r>
      <w:r>
        <w:rPr>
          <w:sz w:val="22"/>
        </w:rPr>
        <w:t>uniji</w:t>
      </w:r>
      <w:r>
        <w:rPr>
          <w:spacing w:val="-3"/>
          <w:sz w:val="22"/>
        </w:rPr>
        <w:t> </w:t>
      </w:r>
      <w:r>
        <w:rPr>
          <w:sz w:val="22"/>
        </w:rPr>
        <w:t>v</w:t>
      </w:r>
      <w:r>
        <w:rPr>
          <w:spacing w:val="-3"/>
          <w:sz w:val="22"/>
        </w:rPr>
        <w:t> </w:t>
      </w:r>
      <w:r>
        <w:rPr>
          <w:sz w:val="22"/>
        </w:rPr>
        <w:t>vseh</w:t>
      </w:r>
      <w:r>
        <w:rPr>
          <w:spacing w:val="-3"/>
          <w:sz w:val="22"/>
        </w:rPr>
        <w:t> </w:t>
      </w:r>
      <w:r>
        <w:rPr>
          <w:sz w:val="22"/>
        </w:rPr>
        <w:t>uradnih</w:t>
      </w:r>
      <w:r>
        <w:rPr>
          <w:spacing w:val="-3"/>
          <w:sz w:val="22"/>
        </w:rPr>
        <w:t> </w:t>
      </w:r>
      <w:r>
        <w:rPr>
          <w:sz w:val="22"/>
        </w:rPr>
        <w:t>jezikih</w:t>
      </w:r>
      <w:r>
        <w:rPr>
          <w:spacing w:val="-3"/>
          <w:sz w:val="22"/>
        </w:rPr>
        <w:t> </w:t>
      </w:r>
      <w:r>
        <w:rPr>
          <w:sz w:val="22"/>
        </w:rPr>
        <w:t>EU</w:t>
      </w:r>
      <w:r>
        <w:rPr>
          <w:spacing w:val="-3"/>
          <w:sz w:val="22"/>
        </w:rPr>
        <w:t> </w:t>
      </w:r>
      <w:r>
        <w:rPr>
          <w:sz w:val="22"/>
        </w:rPr>
        <w:t>so</w:t>
      </w:r>
      <w:r>
        <w:rPr>
          <w:spacing w:val="-3"/>
          <w:sz w:val="22"/>
        </w:rPr>
        <w:t> </w:t>
      </w:r>
      <w:r>
        <w:rPr>
          <w:sz w:val="22"/>
        </w:rPr>
        <w:t>na</w:t>
      </w:r>
      <w:r>
        <w:rPr>
          <w:spacing w:val="-3"/>
          <w:sz w:val="22"/>
        </w:rPr>
        <w:t> </w:t>
      </w:r>
      <w:r>
        <w:rPr>
          <w:sz w:val="22"/>
        </w:rPr>
        <w:t>voljo</w:t>
      </w:r>
      <w:r>
        <w:rPr>
          <w:spacing w:val="-3"/>
          <w:sz w:val="22"/>
        </w:rPr>
        <w:t> </w:t>
      </w:r>
      <w:r>
        <w:rPr>
          <w:sz w:val="22"/>
        </w:rPr>
        <w:t>na</w:t>
      </w:r>
      <w:r>
        <w:rPr>
          <w:spacing w:val="-3"/>
          <w:sz w:val="22"/>
        </w:rPr>
        <w:t> </w:t>
      </w:r>
      <w:r>
        <w:rPr>
          <w:sz w:val="22"/>
        </w:rPr>
        <w:t>spletišču</w:t>
      </w:r>
      <w:r>
        <w:rPr>
          <w:spacing w:val="-3"/>
          <w:sz w:val="22"/>
        </w:rPr>
        <w:t> </w:t>
      </w:r>
      <w:r>
        <w:rPr>
          <w:sz w:val="22"/>
        </w:rPr>
        <w:t>Europa </w:t>
      </w:r>
      <w:r>
        <w:rPr>
          <w:spacing w:val="-2"/>
          <w:sz w:val="22"/>
        </w:rPr>
        <w:t>(</w:t>
      </w:r>
      <w:hyperlink r:id="rId10">
        <w:r>
          <w:rPr>
            <w:color w:val="337AB7"/>
            <w:spacing w:val="-2"/>
            <w:sz w:val="22"/>
            <w:u w:val="single" w:color="337AB7"/>
          </w:rPr>
          <w:t>europeanunion.europa.eu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Publikacije</w:t>
      </w:r>
      <w:r>
        <w:rPr>
          <w:spacing w:val="-11"/>
        </w:rPr>
        <w:t> </w:t>
      </w:r>
      <w:r>
        <w:rPr>
          <w:spacing w:val="-5"/>
        </w:rPr>
        <w:t>EU</w:t>
      </w:r>
    </w:p>
    <w:p>
      <w:pPr>
        <w:spacing w:line="290" w:lineRule="auto" w:before="166"/>
        <w:ind w:left="443" w:right="596" w:firstLine="0"/>
        <w:jc w:val="left"/>
        <w:rPr>
          <w:sz w:val="22"/>
        </w:rPr>
      </w:pPr>
      <w:r>
        <w:rPr>
          <w:sz w:val="22"/>
        </w:rPr>
        <w:t>Publikacije</w:t>
      </w:r>
      <w:r>
        <w:rPr>
          <w:spacing w:val="-4"/>
          <w:sz w:val="22"/>
        </w:rPr>
        <w:t> </w:t>
      </w:r>
      <w:r>
        <w:rPr>
          <w:sz w:val="22"/>
        </w:rPr>
        <w:t>EU</w:t>
      </w:r>
      <w:r>
        <w:rPr>
          <w:spacing w:val="-4"/>
          <w:sz w:val="22"/>
        </w:rPr>
        <w:t> </w:t>
      </w:r>
      <w:r>
        <w:rPr>
          <w:sz w:val="22"/>
        </w:rPr>
        <w:t>si</w:t>
      </w:r>
      <w:r>
        <w:rPr>
          <w:spacing w:val="-4"/>
          <w:sz w:val="22"/>
        </w:rPr>
        <w:t> </w:t>
      </w:r>
      <w:r>
        <w:rPr>
          <w:sz w:val="22"/>
        </w:rPr>
        <w:t>lahko</w:t>
      </w:r>
      <w:r>
        <w:rPr>
          <w:spacing w:val="-4"/>
          <w:sz w:val="22"/>
        </w:rPr>
        <w:t> </w:t>
      </w:r>
      <w:r>
        <w:rPr>
          <w:sz w:val="22"/>
        </w:rPr>
        <w:t>ogledate</w:t>
      </w:r>
      <w:r>
        <w:rPr>
          <w:spacing w:val="-4"/>
          <w:sz w:val="22"/>
        </w:rPr>
        <w:t> </w:t>
      </w:r>
      <w:r>
        <w:rPr>
          <w:sz w:val="22"/>
        </w:rPr>
        <w:t>ali</w:t>
      </w:r>
      <w:r>
        <w:rPr>
          <w:spacing w:val="-4"/>
          <w:sz w:val="22"/>
        </w:rPr>
        <w:t> </w:t>
      </w:r>
      <w:r>
        <w:rPr>
          <w:sz w:val="22"/>
        </w:rPr>
        <w:t>naročite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hyperlink r:id="rId11">
        <w:r>
          <w:rPr>
            <w:color w:val="337AB7"/>
            <w:sz w:val="22"/>
            <w:u w:val="single" w:color="337AB7"/>
          </w:rPr>
          <w:t>op.europa.eu/sl/publications</w:t>
        </w:r>
      </w:hyperlink>
      <w:r>
        <w:rPr>
          <w:sz w:val="22"/>
          <w:u w:val="none"/>
        </w:rPr>
        <w:t>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Za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več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izvodov brezplačnih publikacij se obrnite na Europe Direct ali najbližji dokumentacijski center </w:t>
      </w:r>
      <w:r>
        <w:rPr>
          <w:spacing w:val="-2"/>
          <w:sz w:val="22"/>
          <w:u w:val="none"/>
        </w:rPr>
        <w:t>(</w:t>
      </w:r>
      <w:hyperlink r:id="rId12">
        <w:r>
          <w:rPr>
            <w:color w:val="337AB7"/>
            <w:spacing w:val="-2"/>
            <w:sz w:val="22"/>
            <w:u w:val="single" w:color="337AB7"/>
          </w:rPr>
          <w:t>europeanunion.europa.eu/contact-eu/meet-us_sl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Zakonodaja</w:t>
      </w:r>
      <w:r>
        <w:rPr>
          <w:spacing w:val="-5"/>
        </w:rPr>
        <w:t> </w:t>
      </w:r>
      <w:r>
        <w:rPr/>
        <w:t>EU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drugi</w:t>
      </w:r>
      <w:r>
        <w:rPr>
          <w:spacing w:val="-4"/>
        </w:rPr>
        <w:t> </w:t>
      </w:r>
      <w:r>
        <w:rPr>
          <w:spacing w:val="-2"/>
        </w:rPr>
        <w:t>dokumenti</w:t>
      </w:r>
    </w:p>
    <w:p>
      <w:pPr>
        <w:spacing w:line="290" w:lineRule="auto" w:before="167"/>
        <w:ind w:left="443" w:right="279" w:firstLine="0"/>
        <w:jc w:val="left"/>
        <w:rPr>
          <w:sz w:val="22"/>
        </w:rPr>
      </w:pPr>
      <w:r>
        <w:rPr>
          <w:sz w:val="22"/>
        </w:rPr>
        <w:t>Do</w:t>
      </w:r>
      <w:r>
        <w:rPr>
          <w:spacing w:val="-3"/>
          <w:sz w:val="22"/>
        </w:rPr>
        <w:t> </w:t>
      </w:r>
      <w:r>
        <w:rPr>
          <w:sz w:val="22"/>
        </w:rPr>
        <w:t>pravnih</w:t>
      </w:r>
      <w:r>
        <w:rPr>
          <w:spacing w:val="-3"/>
          <w:sz w:val="22"/>
        </w:rPr>
        <w:t> </w:t>
      </w:r>
      <w:r>
        <w:rPr>
          <w:sz w:val="22"/>
        </w:rPr>
        <w:t>informacij</w:t>
      </w:r>
      <w:r>
        <w:rPr>
          <w:spacing w:val="-3"/>
          <w:sz w:val="22"/>
        </w:rPr>
        <w:t> </w:t>
      </w:r>
      <w:r>
        <w:rPr>
          <w:sz w:val="22"/>
        </w:rPr>
        <w:t>EU,</w:t>
      </w:r>
      <w:r>
        <w:rPr>
          <w:spacing w:val="-3"/>
          <w:sz w:val="22"/>
        </w:rPr>
        <w:t> </w:t>
      </w:r>
      <w:r>
        <w:rPr>
          <w:sz w:val="22"/>
        </w:rPr>
        <w:t>vključno</w:t>
      </w:r>
      <w:r>
        <w:rPr>
          <w:spacing w:val="-3"/>
          <w:sz w:val="22"/>
        </w:rPr>
        <w:t> </w:t>
      </w:r>
      <w:r>
        <w:rPr>
          <w:sz w:val="22"/>
        </w:rPr>
        <w:t>z</w:t>
      </w:r>
      <w:r>
        <w:rPr>
          <w:spacing w:val="-3"/>
          <w:sz w:val="22"/>
        </w:rPr>
        <w:t> </w:t>
      </w:r>
      <w:r>
        <w:rPr>
          <w:sz w:val="22"/>
        </w:rPr>
        <w:t>vso</w:t>
      </w:r>
      <w:r>
        <w:rPr>
          <w:spacing w:val="-3"/>
          <w:sz w:val="22"/>
        </w:rPr>
        <w:t> </w:t>
      </w:r>
      <w:r>
        <w:rPr>
          <w:sz w:val="22"/>
        </w:rPr>
        <w:t>zakonodajo</w:t>
      </w:r>
      <w:r>
        <w:rPr>
          <w:spacing w:val="-3"/>
          <w:sz w:val="22"/>
        </w:rPr>
        <w:t> </w:t>
      </w:r>
      <w:r>
        <w:rPr>
          <w:sz w:val="22"/>
        </w:rPr>
        <w:t>EU</w:t>
      </w:r>
      <w:r>
        <w:rPr>
          <w:spacing w:val="-3"/>
          <w:sz w:val="22"/>
        </w:rPr>
        <w:t> </w:t>
      </w:r>
      <w:r>
        <w:rPr>
          <w:sz w:val="22"/>
        </w:rPr>
        <w:t>od</w:t>
      </w:r>
      <w:r>
        <w:rPr>
          <w:spacing w:val="-3"/>
          <w:sz w:val="22"/>
        </w:rPr>
        <w:t> </w:t>
      </w:r>
      <w:r>
        <w:rPr>
          <w:sz w:val="22"/>
        </w:rPr>
        <w:t>leta</w:t>
      </w:r>
      <w:r>
        <w:rPr>
          <w:spacing w:val="-3"/>
          <w:sz w:val="22"/>
        </w:rPr>
        <w:t> </w:t>
      </w:r>
      <w:r>
        <w:rPr>
          <w:sz w:val="22"/>
        </w:rPr>
        <w:t>1951</w:t>
      </w:r>
      <w:r>
        <w:rPr>
          <w:spacing w:val="-3"/>
          <w:sz w:val="22"/>
        </w:rPr>
        <w:t> </w:t>
      </w:r>
      <w:r>
        <w:rPr>
          <w:sz w:val="22"/>
        </w:rPr>
        <w:t>v</w:t>
      </w:r>
      <w:r>
        <w:rPr>
          <w:spacing w:val="-3"/>
          <w:sz w:val="22"/>
        </w:rPr>
        <w:t> </w:t>
      </w:r>
      <w:r>
        <w:rPr>
          <w:sz w:val="22"/>
        </w:rPr>
        <w:t>vseh</w:t>
      </w:r>
      <w:r>
        <w:rPr>
          <w:spacing w:val="-3"/>
          <w:sz w:val="22"/>
        </w:rPr>
        <w:t> </w:t>
      </w:r>
      <w:r>
        <w:rPr>
          <w:sz w:val="22"/>
        </w:rPr>
        <w:t>uradnih</w:t>
      </w:r>
      <w:r>
        <w:rPr>
          <w:spacing w:val="-3"/>
          <w:sz w:val="22"/>
        </w:rPr>
        <w:t> </w:t>
      </w:r>
      <w:r>
        <w:rPr>
          <w:sz w:val="22"/>
        </w:rPr>
        <w:t>jezikovnih različicah, lahko dostopate na spletišču EUR-Lex (</w:t>
      </w:r>
      <w:hyperlink r:id="rId13">
        <w:r>
          <w:rPr>
            <w:color w:val="337AB7"/>
            <w:sz w:val="22"/>
            <w:u w:val="single" w:color="337AB7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Odprti</w:t>
      </w:r>
      <w:r>
        <w:rPr>
          <w:spacing w:val="-7"/>
        </w:rPr>
        <w:t> </w:t>
      </w:r>
      <w:r>
        <w:rPr/>
        <w:t>podatki</w:t>
      </w:r>
      <w:r>
        <w:rPr>
          <w:spacing w:val="-6"/>
        </w:rPr>
        <w:t> </w:t>
      </w:r>
      <w:r>
        <w:rPr>
          <w:spacing w:val="-5"/>
        </w:rPr>
        <w:t>EU</w:t>
      </w:r>
    </w:p>
    <w:p>
      <w:pPr>
        <w:spacing w:line="290" w:lineRule="auto" w:before="166"/>
        <w:ind w:left="443" w:right="944" w:firstLine="0"/>
        <w:jc w:val="left"/>
        <w:rPr>
          <w:sz w:val="22"/>
        </w:rPr>
      </w:pPr>
      <w:r>
        <w:rPr>
          <w:sz w:val="22"/>
        </w:rPr>
        <w:t>Na portalu </w:t>
      </w:r>
      <w:hyperlink r:id="rId14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z w:val="22"/>
          <w:u w:val="none"/>
        </w:rPr>
        <w:t> </w:t>
      </w:r>
      <w:r>
        <w:rPr>
          <w:sz w:val="22"/>
          <w:u w:val="none"/>
        </w:rPr>
        <w:t>lahko dostopate do odprtih zbirk podatkov institucij, organov in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agencij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EU.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Zbirke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podatkov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lahko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brezplačno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prenesete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jih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ponovno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uporabite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za</w:t>
      </w:r>
    </w:p>
    <w:p>
      <w:pPr>
        <w:spacing w:line="290" w:lineRule="auto" w:before="0"/>
        <w:ind w:left="443" w:right="0" w:firstLine="0"/>
        <w:jc w:val="left"/>
        <w:rPr>
          <w:sz w:val="22"/>
        </w:rPr>
      </w:pPr>
      <w:r>
        <w:rPr>
          <w:sz w:val="22"/>
        </w:rPr>
        <w:t>komercialne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nekomercialne</w:t>
      </w:r>
      <w:r>
        <w:rPr>
          <w:spacing w:val="-4"/>
          <w:sz w:val="22"/>
        </w:rPr>
        <w:t> </w:t>
      </w:r>
      <w:r>
        <w:rPr>
          <w:sz w:val="22"/>
        </w:rPr>
        <w:t>namene.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portalu</w:t>
      </w:r>
      <w:r>
        <w:rPr>
          <w:spacing w:val="-4"/>
          <w:sz w:val="22"/>
        </w:rPr>
        <w:t> </w:t>
      </w:r>
      <w:r>
        <w:rPr>
          <w:sz w:val="22"/>
        </w:rPr>
        <w:t>so</w:t>
      </w:r>
      <w:r>
        <w:rPr>
          <w:spacing w:val="-4"/>
          <w:sz w:val="22"/>
        </w:rPr>
        <w:t> </w:t>
      </w:r>
      <w:r>
        <w:rPr>
          <w:sz w:val="22"/>
        </w:rPr>
        <w:t>dostopne</w:t>
      </w:r>
      <w:r>
        <w:rPr>
          <w:spacing w:val="-4"/>
          <w:sz w:val="22"/>
        </w:rPr>
        <w:t> </w:t>
      </w:r>
      <w:r>
        <w:rPr>
          <w:sz w:val="22"/>
        </w:rPr>
        <w:t>tudi</w:t>
      </w:r>
      <w:r>
        <w:rPr>
          <w:spacing w:val="-4"/>
          <w:sz w:val="22"/>
        </w:rPr>
        <w:t> </w:t>
      </w:r>
      <w:r>
        <w:rPr>
          <w:sz w:val="22"/>
        </w:rPr>
        <w:t>številne</w:t>
      </w:r>
      <w:r>
        <w:rPr>
          <w:spacing w:val="-4"/>
          <w:sz w:val="22"/>
        </w:rPr>
        <w:t> </w:t>
      </w:r>
      <w:r>
        <w:rPr>
          <w:sz w:val="22"/>
        </w:rPr>
        <w:t>zbirke</w:t>
      </w:r>
      <w:r>
        <w:rPr>
          <w:spacing w:val="-4"/>
          <w:sz w:val="22"/>
        </w:rPr>
        <w:t> </w:t>
      </w:r>
      <w:r>
        <w:rPr>
          <w:sz w:val="22"/>
        </w:rPr>
        <w:t>podatkov</w:t>
      </w:r>
      <w:r>
        <w:rPr>
          <w:spacing w:val="-4"/>
          <w:sz w:val="22"/>
        </w:rPr>
        <w:t> </w:t>
      </w:r>
      <w:r>
        <w:rPr>
          <w:sz w:val="22"/>
        </w:rPr>
        <w:t>iz evropskih držav.</w:t>
      </w:r>
    </w:p>
    <w:sectPr>
      <w:pgSz w:w="11910" w:h="16840"/>
      <w:pgMar w:top="880" w:bottom="280" w:left="860" w:right="10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sl-SI" w:eastAsia="en-US" w:bidi="ar-SA"/>
      </w:rPr>
    </w:lvl>
    <w:lvl w:ilvl="1">
      <w:start w:val="0"/>
      <w:numFmt w:val="bullet"/>
      <w:lvlText w:val="•"/>
      <w:lvlJc w:val="left"/>
      <w:pPr>
        <w:ind w:left="2042" w:hanging="400"/>
      </w:pPr>
      <w:rPr>
        <w:rFonts w:hint="default"/>
        <w:lang w:val="sl-SI" w:eastAsia="en-US" w:bidi="ar-SA"/>
      </w:rPr>
    </w:lvl>
    <w:lvl w:ilvl="2">
      <w:start w:val="0"/>
      <w:numFmt w:val="bullet"/>
      <w:lvlText w:val="•"/>
      <w:lvlJc w:val="left"/>
      <w:pPr>
        <w:ind w:left="2925" w:hanging="400"/>
      </w:pPr>
      <w:rPr>
        <w:rFonts w:hint="default"/>
        <w:lang w:val="sl-SI" w:eastAsia="en-US" w:bidi="ar-SA"/>
      </w:rPr>
    </w:lvl>
    <w:lvl w:ilvl="3">
      <w:start w:val="0"/>
      <w:numFmt w:val="bullet"/>
      <w:lvlText w:val="•"/>
      <w:lvlJc w:val="left"/>
      <w:pPr>
        <w:ind w:left="3808" w:hanging="400"/>
      </w:pPr>
      <w:rPr>
        <w:rFonts w:hint="default"/>
        <w:lang w:val="sl-SI" w:eastAsia="en-US" w:bidi="ar-SA"/>
      </w:rPr>
    </w:lvl>
    <w:lvl w:ilvl="4">
      <w:start w:val="0"/>
      <w:numFmt w:val="bullet"/>
      <w:lvlText w:val="•"/>
      <w:lvlJc w:val="left"/>
      <w:pPr>
        <w:ind w:left="4691" w:hanging="400"/>
      </w:pPr>
      <w:rPr>
        <w:rFonts w:hint="default"/>
        <w:lang w:val="sl-SI" w:eastAsia="en-US" w:bidi="ar-SA"/>
      </w:rPr>
    </w:lvl>
    <w:lvl w:ilvl="5">
      <w:start w:val="0"/>
      <w:numFmt w:val="bullet"/>
      <w:lvlText w:val="•"/>
      <w:lvlJc w:val="left"/>
      <w:pPr>
        <w:ind w:left="5574" w:hanging="400"/>
      </w:pPr>
      <w:rPr>
        <w:rFonts w:hint="default"/>
        <w:lang w:val="sl-SI" w:eastAsia="en-US" w:bidi="ar-SA"/>
      </w:rPr>
    </w:lvl>
    <w:lvl w:ilvl="6">
      <w:start w:val="0"/>
      <w:numFmt w:val="bullet"/>
      <w:lvlText w:val="•"/>
      <w:lvlJc w:val="left"/>
      <w:pPr>
        <w:ind w:left="6457" w:hanging="400"/>
      </w:pPr>
      <w:rPr>
        <w:rFonts w:hint="default"/>
        <w:lang w:val="sl-SI" w:eastAsia="en-US" w:bidi="ar-SA"/>
      </w:rPr>
    </w:lvl>
    <w:lvl w:ilvl="7">
      <w:start w:val="0"/>
      <w:numFmt w:val="bullet"/>
      <w:lvlText w:val="•"/>
      <w:lvlJc w:val="left"/>
      <w:pPr>
        <w:ind w:left="7340" w:hanging="400"/>
      </w:pPr>
      <w:rPr>
        <w:rFonts w:hint="default"/>
        <w:lang w:val="sl-SI" w:eastAsia="en-US" w:bidi="ar-SA"/>
      </w:rPr>
    </w:lvl>
    <w:lvl w:ilvl="8">
      <w:start w:val="0"/>
      <w:numFmt w:val="bullet"/>
      <w:lvlText w:val="•"/>
      <w:lvlJc w:val="left"/>
      <w:pPr>
        <w:ind w:left="8223" w:hanging="400"/>
      </w:pPr>
      <w:rPr>
        <w:rFonts w:hint="default"/>
        <w:lang w:val="sl-SI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sl-SI" w:eastAsia="en-US" w:bidi="ar-SA"/>
      </w:rPr>
    </w:lvl>
    <w:lvl w:ilvl="1">
      <w:start w:val="0"/>
      <w:numFmt w:val="bullet"/>
      <w:lvlText w:val="•"/>
      <w:lvlJc w:val="left"/>
      <w:pPr>
        <w:ind w:left="1412" w:hanging="300"/>
      </w:pPr>
      <w:rPr>
        <w:rFonts w:hint="default"/>
        <w:lang w:val="sl-SI" w:eastAsia="en-US" w:bidi="ar-SA"/>
      </w:rPr>
    </w:lvl>
    <w:lvl w:ilvl="2">
      <w:start w:val="0"/>
      <w:numFmt w:val="bullet"/>
      <w:lvlText w:val="•"/>
      <w:lvlJc w:val="left"/>
      <w:pPr>
        <w:ind w:left="2365" w:hanging="300"/>
      </w:pPr>
      <w:rPr>
        <w:rFonts w:hint="default"/>
        <w:lang w:val="sl-SI" w:eastAsia="en-US" w:bidi="ar-SA"/>
      </w:rPr>
    </w:lvl>
    <w:lvl w:ilvl="3">
      <w:start w:val="0"/>
      <w:numFmt w:val="bullet"/>
      <w:lvlText w:val="•"/>
      <w:lvlJc w:val="left"/>
      <w:pPr>
        <w:ind w:left="3318" w:hanging="300"/>
      </w:pPr>
      <w:rPr>
        <w:rFonts w:hint="default"/>
        <w:lang w:val="sl-SI" w:eastAsia="en-US" w:bidi="ar-SA"/>
      </w:rPr>
    </w:lvl>
    <w:lvl w:ilvl="4">
      <w:start w:val="0"/>
      <w:numFmt w:val="bullet"/>
      <w:lvlText w:val="•"/>
      <w:lvlJc w:val="left"/>
      <w:pPr>
        <w:ind w:left="4271" w:hanging="300"/>
      </w:pPr>
      <w:rPr>
        <w:rFonts w:hint="default"/>
        <w:lang w:val="sl-SI" w:eastAsia="en-US" w:bidi="ar-SA"/>
      </w:rPr>
    </w:lvl>
    <w:lvl w:ilvl="5">
      <w:start w:val="0"/>
      <w:numFmt w:val="bullet"/>
      <w:lvlText w:val="•"/>
      <w:lvlJc w:val="left"/>
      <w:pPr>
        <w:ind w:left="5224" w:hanging="300"/>
      </w:pPr>
      <w:rPr>
        <w:rFonts w:hint="default"/>
        <w:lang w:val="sl-SI" w:eastAsia="en-US" w:bidi="ar-SA"/>
      </w:rPr>
    </w:lvl>
    <w:lvl w:ilvl="6">
      <w:start w:val="0"/>
      <w:numFmt w:val="bullet"/>
      <w:lvlText w:val="•"/>
      <w:lvlJc w:val="left"/>
      <w:pPr>
        <w:ind w:left="6177" w:hanging="300"/>
      </w:pPr>
      <w:rPr>
        <w:rFonts w:hint="default"/>
        <w:lang w:val="sl-SI" w:eastAsia="en-US" w:bidi="ar-SA"/>
      </w:rPr>
    </w:lvl>
    <w:lvl w:ilvl="7">
      <w:start w:val="0"/>
      <w:numFmt w:val="bullet"/>
      <w:lvlText w:val="•"/>
      <w:lvlJc w:val="left"/>
      <w:pPr>
        <w:ind w:left="7130" w:hanging="300"/>
      </w:pPr>
      <w:rPr>
        <w:rFonts w:hint="default"/>
        <w:lang w:val="sl-SI" w:eastAsia="en-US" w:bidi="ar-SA"/>
      </w:rPr>
    </w:lvl>
    <w:lvl w:ilvl="8">
      <w:start w:val="0"/>
      <w:numFmt w:val="bullet"/>
      <w:lvlText w:val="•"/>
      <w:lvlJc w:val="left"/>
      <w:pPr>
        <w:ind w:left="8083" w:hanging="300"/>
      </w:pPr>
      <w:rPr>
        <w:rFonts w:hint="default"/>
        <w:lang w:val="sl-SI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sl-SI" w:eastAsia="en-US" w:bidi="ar-SA"/>
      </w:rPr>
    </w:lvl>
    <w:lvl w:ilvl="1">
      <w:start w:val="0"/>
      <w:numFmt w:val="bullet"/>
      <w:lvlText w:val="•"/>
      <w:lvlJc w:val="left"/>
      <w:pPr>
        <w:ind w:left="1790" w:hanging="380"/>
      </w:pPr>
      <w:rPr>
        <w:rFonts w:hint="default"/>
        <w:lang w:val="sl-SI" w:eastAsia="en-US" w:bidi="ar-SA"/>
      </w:rPr>
    </w:lvl>
    <w:lvl w:ilvl="2">
      <w:start w:val="0"/>
      <w:numFmt w:val="bullet"/>
      <w:lvlText w:val="•"/>
      <w:lvlJc w:val="left"/>
      <w:pPr>
        <w:ind w:left="2701" w:hanging="380"/>
      </w:pPr>
      <w:rPr>
        <w:rFonts w:hint="default"/>
        <w:lang w:val="sl-SI" w:eastAsia="en-US" w:bidi="ar-SA"/>
      </w:rPr>
    </w:lvl>
    <w:lvl w:ilvl="3">
      <w:start w:val="0"/>
      <w:numFmt w:val="bullet"/>
      <w:lvlText w:val="•"/>
      <w:lvlJc w:val="left"/>
      <w:pPr>
        <w:ind w:left="3612" w:hanging="380"/>
      </w:pPr>
      <w:rPr>
        <w:rFonts w:hint="default"/>
        <w:lang w:val="sl-SI" w:eastAsia="en-US" w:bidi="ar-SA"/>
      </w:rPr>
    </w:lvl>
    <w:lvl w:ilvl="4">
      <w:start w:val="0"/>
      <w:numFmt w:val="bullet"/>
      <w:lvlText w:val="•"/>
      <w:lvlJc w:val="left"/>
      <w:pPr>
        <w:ind w:left="4523" w:hanging="380"/>
      </w:pPr>
      <w:rPr>
        <w:rFonts w:hint="default"/>
        <w:lang w:val="sl-SI" w:eastAsia="en-US" w:bidi="ar-SA"/>
      </w:rPr>
    </w:lvl>
    <w:lvl w:ilvl="5">
      <w:start w:val="0"/>
      <w:numFmt w:val="bullet"/>
      <w:lvlText w:val="•"/>
      <w:lvlJc w:val="left"/>
      <w:pPr>
        <w:ind w:left="5434" w:hanging="380"/>
      </w:pPr>
      <w:rPr>
        <w:rFonts w:hint="default"/>
        <w:lang w:val="sl-SI" w:eastAsia="en-US" w:bidi="ar-SA"/>
      </w:rPr>
    </w:lvl>
    <w:lvl w:ilvl="6">
      <w:start w:val="0"/>
      <w:numFmt w:val="bullet"/>
      <w:lvlText w:val="•"/>
      <w:lvlJc w:val="left"/>
      <w:pPr>
        <w:ind w:left="6345" w:hanging="380"/>
      </w:pPr>
      <w:rPr>
        <w:rFonts w:hint="default"/>
        <w:lang w:val="sl-SI" w:eastAsia="en-US" w:bidi="ar-SA"/>
      </w:rPr>
    </w:lvl>
    <w:lvl w:ilvl="7">
      <w:start w:val="0"/>
      <w:numFmt w:val="bullet"/>
      <w:lvlText w:val="•"/>
      <w:lvlJc w:val="left"/>
      <w:pPr>
        <w:ind w:left="7256" w:hanging="380"/>
      </w:pPr>
      <w:rPr>
        <w:rFonts w:hint="default"/>
        <w:lang w:val="sl-SI" w:eastAsia="en-US" w:bidi="ar-SA"/>
      </w:rPr>
    </w:lvl>
    <w:lvl w:ilvl="8">
      <w:start w:val="0"/>
      <w:numFmt w:val="bullet"/>
      <w:lvlText w:val="•"/>
      <w:lvlJc w:val="left"/>
      <w:pPr>
        <w:ind w:left="8167" w:hanging="380"/>
      </w:pPr>
      <w:rPr>
        <w:rFonts w:hint="default"/>
        <w:lang w:val="sl-SI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sl-SI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sl-SI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443"/>
      <w:outlineLvl w:val="1"/>
    </w:pPr>
    <w:rPr>
      <w:rFonts w:ascii="Arial" w:hAnsi="Arial" w:eastAsia="Arial" w:cs="Arial"/>
      <w:b/>
      <w:bCs/>
      <w:sz w:val="24"/>
      <w:szCs w:val="24"/>
      <w:lang w:val="sl-SI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sl-SI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sl-SI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sl-SI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style-guide.europa.eu/en/content/-/isg/topic?identifier=5.4.4-other-disclaimers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mailto:OP-COPYRIGHT@publications.europa.eu" TargetMode="External"/><Relationship Id="rId8" Type="http://schemas.openxmlformats.org/officeDocument/2006/relationships/hyperlink" Target="https://european-union.europa.eu/contact-eu/meet-us_sl" TargetMode="External"/><Relationship Id="rId9" Type="http://schemas.openxmlformats.org/officeDocument/2006/relationships/hyperlink" Target="https://european-union.europa.eu/contact-eu/write-us_sl" TargetMode="External"/><Relationship Id="rId10" Type="http://schemas.openxmlformats.org/officeDocument/2006/relationships/hyperlink" Target="https://european-union.europa.eu/index_sl" TargetMode="External"/><Relationship Id="rId11" Type="http://schemas.openxmlformats.org/officeDocument/2006/relationships/hyperlink" Target="https://op.europa.eu/sl/publications" TargetMode="External"/><Relationship Id="rId12" Type="http://schemas.openxmlformats.org/officeDocument/2006/relationships/hyperlink" Target="https://europa.eu/european-union/contact_sl" TargetMode="External"/><Relationship Id="rId13" Type="http://schemas.openxmlformats.org/officeDocument/2006/relationships/hyperlink" Target="https://eur-lex.europa.eu/" TargetMode="External"/><Relationship Id="rId14" Type="http://schemas.openxmlformats.org/officeDocument/2006/relationships/hyperlink" Target="https://data.europa.eu/sl" TargetMode="External"/><Relationship Id="rId1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Central Bank (ECB) and bodies/agencies with legal personality – SL(NB: The Commission’s executive agencies have their own liminary pages.)</dc:title>
  <dcterms:created xsi:type="dcterms:W3CDTF">2025-01-15T11:45:05Z</dcterms:created>
  <dcterms:modified xsi:type="dcterms:W3CDTF">2025-01-15T11:45:05Z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