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0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ES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[impresor]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[país]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Manuscrito</w:t>
      </w:r>
      <w:r>
        <w:rPr>
          <w:spacing w:val="-8"/>
        </w:rPr>
        <w:t> </w:t>
      </w:r>
      <w:r>
        <w:rPr/>
        <w:t>finalizado</w:t>
      </w:r>
      <w:r>
        <w:rPr>
          <w:spacing w:val="-6"/>
        </w:rPr>
        <w:t> </w:t>
      </w:r>
      <w:r>
        <w:rPr/>
        <w:t>en</w:t>
      </w:r>
      <w:r>
        <w:rPr>
          <w:spacing w:val="-6"/>
        </w:rPr>
        <w:t> </w:t>
      </w:r>
      <w:r>
        <w:rPr/>
        <w:t>[mes]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>
          <w:spacing w:val="-2"/>
        </w:rPr>
        <w:t>[año]</w:t>
      </w:r>
    </w:p>
    <w:p>
      <w:pPr>
        <w:pStyle w:val="BodyText"/>
        <w:spacing w:line="540" w:lineRule="atLeast"/>
        <w:ind w:left="153" w:right="4165"/>
      </w:pPr>
      <w:r>
        <w:rPr/>
        <w:t>Edición</w:t>
      </w:r>
      <w:r>
        <w:rPr>
          <w:spacing w:val="-13"/>
        </w:rPr>
        <w:t> </w:t>
      </w:r>
      <w:r>
        <w:rPr/>
        <w:t>revisada/Edición</w:t>
      </w:r>
      <w:r>
        <w:rPr>
          <w:spacing w:val="-13"/>
        </w:rPr>
        <w:t> </w:t>
      </w:r>
      <w:r>
        <w:rPr/>
        <w:t>corregida/[Primera/Segunda/</w:t>
      </w:r>
      <w:r>
        <w:rPr>
          <w:i/>
        </w:rPr>
        <w:t>x.</w:t>
      </w:r>
      <w:r>
        <w:rPr>
          <w:position w:val="10"/>
          <w:sz w:val="16"/>
        </w:rPr>
        <w:t>a</w:t>
      </w:r>
      <w:r>
        <w:rPr/>
        <w:t>]</w:t>
      </w:r>
      <w:r>
        <w:rPr>
          <w:spacing w:val="-13"/>
        </w:rPr>
        <w:t> </w:t>
      </w:r>
      <w:r>
        <w:rPr/>
        <w:t>edición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El</w:t>
      </w:r>
      <w:r>
        <w:rPr>
          <w:spacing w:val="-4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puede</w:t>
      </w:r>
      <w:r>
        <w:rPr>
          <w:spacing w:val="-4"/>
        </w:rPr>
        <w:t> </w:t>
      </w:r>
      <w:r>
        <w:rPr/>
        <w:t>considerarse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posición</w:t>
      </w:r>
      <w:r>
        <w:rPr>
          <w:spacing w:val="-4"/>
        </w:rPr>
        <w:t> </w:t>
      </w:r>
      <w:r>
        <w:rPr/>
        <w:t>oficial</w:t>
      </w:r>
      <w:r>
        <w:rPr>
          <w:spacing w:val="-4"/>
        </w:rPr>
        <w:t> </w:t>
      </w:r>
      <w:r>
        <w:rPr/>
        <w:t>[de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institución/del</w:t>
      </w:r>
      <w:r>
        <w:rPr>
          <w:spacing w:val="-4"/>
        </w:rPr>
        <w:t> </w:t>
      </w:r>
      <w:r>
        <w:rPr/>
        <w:t>órgano/del</w:t>
      </w:r>
      <w:r>
        <w:rPr>
          <w:spacing w:val="-4"/>
        </w:rPr>
        <w:t> </w:t>
      </w:r>
      <w:r>
        <w:rPr/>
        <w:t>servicio]. Luxemburgo: Oficina de Publicaciones de la Unión Europea, [año]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Unión</w:t>
      </w:r>
      <w:r>
        <w:rPr>
          <w:spacing w:val="-5"/>
        </w:rPr>
        <w:t> </w:t>
      </w:r>
      <w:r>
        <w:rPr/>
        <w:t>Europea,</w:t>
      </w:r>
      <w:r>
        <w:rPr>
          <w:spacing w:val="-4"/>
        </w:rPr>
        <w:t> </w:t>
      </w:r>
      <w:r>
        <w:rPr>
          <w:spacing w:val="-2"/>
        </w:rPr>
        <w:t>[año]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757"/>
      </w:pPr>
      <w:r>
        <w:rPr/>
        <w:t>©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[año].</w:t>
      </w:r>
      <w:r>
        <w:rPr>
          <w:spacing w:val="-3"/>
        </w:rPr>
        <w:t> </w:t>
      </w:r>
      <w:r>
        <w:rPr/>
        <w:t>Algunos</w:t>
      </w:r>
      <w:r>
        <w:rPr>
          <w:spacing w:val="-3"/>
        </w:rPr>
        <w:t> </w:t>
      </w:r>
      <w:r>
        <w:rPr/>
        <w:t>contenidos</w:t>
      </w:r>
      <w:r>
        <w:rPr>
          <w:spacing w:val="-3"/>
        </w:rPr>
        <w:t> </w:t>
      </w:r>
      <w:r>
        <w:rPr/>
        <w:t>se</w:t>
      </w:r>
      <w:r>
        <w:rPr>
          <w:spacing w:val="-3"/>
        </w:rPr>
        <w:t> </w:t>
      </w:r>
      <w:r>
        <w:rPr/>
        <w:t>crearon</w:t>
      </w:r>
      <w:r>
        <w:rPr>
          <w:spacing w:val="-3"/>
        </w:rPr>
        <w:t> </w:t>
      </w:r>
      <w:r>
        <w:rPr/>
        <w:t>utilizando</w:t>
      </w:r>
      <w:r>
        <w:rPr>
          <w:spacing w:val="-3"/>
        </w:rPr>
        <w:t> </w:t>
      </w:r>
      <w:r>
        <w:rPr/>
        <w:t>[nombre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herramienta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IA]. Reproducción autorizada, con indicación de la fuente bibliográfica.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Para</w:t>
      </w:r>
      <w:r>
        <w:rPr>
          <w:spacing w:val="-3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reproducción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sean</w:t>
      </w:r>
      <w:r>
        <w:rPr>
          <w:spacing w:val="-3"/>
        </w:rPr>
        <w:t> </w:t>
      </w:r>
      <w:r>
        <w:rPr/>
        <w:t>propiedad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podrá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necesario solicitar la autorización directamente de los respectivos titulares de derechos. La Unión Europea no posee los derechos de autor de los siguientes elementos: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afectado],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> </w:t>
      </w:r>
      <w:r>
        <w:rPr>
          <w:sz w:val="20"/>
        </w:rPr>
        <w:t>por</w:t>
      </w:r>
      <w:r>
        <w:rPr>
          <w:spacing w:val="-7"/>
          <w:sz w:val="20"/>
        </w:rPr>
        <w:t> </w:t>
      </w:r>
      <w:r>
        <w:rPr>
          <w:sz w:val="20"/>
        </w:rPr>
        <w:t>ejemplo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afectado],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5"/>
          <w:sz w:val="20"/>
        </w:rPr>
        <w:t> </w:t>
      </w:r>
      <w:r>
        <w:rPr>
          <w:sz w:val="20"/>
        </w:rPr>
        <w:t>por</w:t>
      </w:r>
      <w:r>
        <w:rPr>
          <w:spacing w:val="-6"/>
          <w:sz w:val="20"/>
        </w:rPr>
        <w:t> </w:t>
      </w:r>
      <w:r>
        <w:rPr>
          <w:sz w:val="20"/>
        </w:rPr>
        <w:t>ejemplo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6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03" w:hanging="380"/>
        <w:jc w:val="left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afectado],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2"/>
          <w:sz w:val="20"/>
        </w:rPr>
        <w:t> </w:t>
      </w:r>
      <w:r>
        <w:rPr>
          <w:sz w:val="20"/>
        </w:rPr>
        <w:t>por</w:t>
      </w:r>
      <w:r>
        <w:rPr>
          <w:spacing w:val="-3"/>
          <w:sz w:val="20"/>
        </w:rPr>
        <w:t> </w:t>
      </w:r>
      <w:r>
        <w:rPr>
          <w:sz w:val="20"/>
        </w:rPr>
        <w:t>ejemplo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con</w:t>
      </w:r>
      <w:r>
        <w:rPr>
          <w:spacing w:val="-3"/>
          <w:sz w:val="20"/>
        </w:rPr>
        <w:t> </w:t>
      </w:r>
      <w:r>
        <w:rPr>
          <w:sz w:val="20"/>
        </w:rPr>
        <w:t>licencia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enlace a la licencia];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[ilustración/foto/etc.],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[nombre</w:t>
      </w:r>
      <w:r>
        <w:rPr>
          <w:spacing w:val="-5"/>
          <w:sz w:val="20"/>
        </w:rPr>
        <w:t> </w:t>
      </w:r>
      <w:r>
        <w:rPr>
          <w:sz w:val="20"/>
        </w:rPr>
        <w:t>del</w:t>
      </w:r>
      <w:r>
        <w:rPr>
          <w:spacing w:val="-6"/>
          <w:sz w:val="20"/>
        </w:rPr>
        <w:t> </w:t>
      </w:r>
      <w:r>
        <w:rPr>
          <w:sz w:val="20"/>
        </w:rPr>
        <w:t>artista],</w:t>
      </w:r>
      <w:r>
        <w:rPr>
          <w:spacing w:val="-5"/>
          <w:sz w:val="20"/>
        </w:rPr>
        <w:t> </w:t>
      </w:r>
      <w:r>
        <w:rPr>
          <w:sz w:val="20"/>
        </w:rPr>
        <w:t>[año],</w:t>
      </w:r>
      <w:r>
        <w:rPr>
          <w:spacing w:val="-5"/>
          <w:sz w:val="20"/>
        </w:rPr>
        <w:t> </w:t>
      </w:r>
      <w:r>
        <w:rPr>
          <w:sz w:val="20"/>
        </w:rPr>
        <w:t>todos</w:t>
      </w:r>
      <w:r>
        <w:rPr>
          <w:spacing w:val="-5"/>
          <w:sz w:val="20"/>
        </w:rPr>
        <w:t> </w:t>
      </w:r>
      <w:r>
        <w:rPr>
          <w:sz w:val="20"/>
        </w:rPr>
        <w:t>los</w:t>
      </w:r>
      <w:r>
        <w:rPr>
          <w:spacing w:val="-5"/>
          <w:sz w:val="20"/>
        </w:rPr>
        <w:t> </w:t>
      </w:r>
      <w:r>
        <w:rPr>
          <w:sz w:val="20"/>
        </w:rPr>
        <w:t>derechos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reservados.</w:t>
      </w:r>
    </w:p>
    <w:p>
      <w:pPr>
        <w:pStyle w:val="BodyText"/>
        <w:spacing w:before="79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Para</w:t>
      </w:r>
      <w:r>
        <w:rPr>
          <w:spacing w:val="-3"/>
        </w:rPr>
        <w:t> </w:t>
      </w:r>
      <w:r>
        <w:rPr/>
        <w:t>cualquier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reproducción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elementos</w:t>
      </w:r>
      <w:r>
        <w:rPr>
          <w:spacing w:val="-3"/>
        </w:rPr>
        <w:t> </w:t>
      </w:r>
      <w:r>
        <w:rPr/>
        <w:t>que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sean</w:t>
      </w:r>
      <w:r>
        <w:rPr>
          <w:spacing w:val="-3"/>
        </w:rPr>
        <w:t> </w:t>
      </w:r>
      <w:r>
        <w:rPr/>
        <w:t>propiedad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la</w:t>
      </w:r>
      <w:r>
        <w:rPr>
          <w:spacing w:val="-3"/>
        </w:rPr>
        <w:t> </w:t>
      </w:r>
      <w:r>
        <w:rPr/>
        <w:t>Unión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podrá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necesario solicitar la autorización directamente de los respectivos titulares de derechos.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201526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8682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757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Precio</w:t>
      </w:r>
      <w:r>
        <w:rPr>
          <w:spacing w:val="-7"/>
        </w:rPr>
        <w:t> </w:t>
      </w:r>
      <w:r>
        <w:rPr/>
        <w:t>en</w:t>
      </w:r>
      <w:r>
        <w:rPr>
          <w:spacing w:val="-6"/>
        </w:rPr>
        <w:t> </w:t>
      </w:r>
      <w:r>
        <w:rPr/>
        <w:t>Luxemburgo</w:t>
      </w:r>
      <w:r>
        <w:rPr>
          <w:spacing w:val="-6"/>
        </w:rPr>
        <w:t> </w:t>
      </w:r>
      <w:r>
        <w:rPr/>
        <w:t>(IVA</w:t>
      </w:r>
      <w:r>
        <w:rPr>
          <w:spacing w:val="-7"/>
        </w:rPr>
        <w:t> </w:t>
      </w:r>
      <w:r>
        <w:rPr/>
        <w:t>excluido):</w:t>
      </w:r>
      <w:r>
        <w:rPr>
          <w:spacing w:val="-6"/>
        </w:rPr>
        <w:t> </w:t>
      </w:r>
      <w:r>
        <w:rPr/>
        <w:t>…</w:t>
      </w:r>
      <w:r>
        <w:rPr>
          <w:spacing w:val="-6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Ponerse</w:t>
      </w:r>
      <w:r>
        <w:rPr>
          <w:spacing w:val="-7"/>
        </w:rPr>
        <w:t> </w:t>
      </w:r>
      <w:r>
        <w:rPr/>
        <w:t>en</w:t>
      </w:r>
      <w:r>
        <w:rPr>
          <w:spacing w:val="-4"/>
        </w:rPr>
        <w:t> </w:t>
      </w:r>
      <w:r>
        <w:rPr/>
        <w:t>contacto</w:t>
      </w:r>
      <w:r>
        <w:rPr>
          <w:spacing w:val="-5"/>
        </w:rPr>
        <w:t> </w:t>
      </w:r>
      <w:r>
        <w:rPr/>
        <w:t>con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persona</w:t>
      </w:r>
    </w:p>
    <w:p>
      <w:pPr>
        <w:spacing w:line="290" w:lineRule="auto" w:before="166"/>
        <w:ind w:left="437" w:right="757" w:firstLine="0"/>
        <w:jc w:val="left"/>
        <w:rPr>
          <w:sz w:val="22"/>
        </w:rPr>
      </w:pP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existen</w:t>
      </w:r>
      <w:r>
        <w:rPr>
          <w:spacing w:val="-3"/>
          <w:sz w:val="22"/>
        </w:rPr>
        <w:t> </w:t>
      </w:r>
      <w:r>
        <w:rPr>
          <w:sz w:val="22"/>
        </w:rPr>
        <w:t>cientos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centros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línea</w:t>
      </w:r>
      <w:r>
        <w:rPr>
          <w:spacing w:val="-3"/>
          <w:sz w:val="22"/>
        </w:rPr>
        <w:t> </w:t>
      </w:r>
      <w:r>
        <w:rPr>
          <w:sz w:val="22"/>
        </w:rPr>
        <w:t>la dirección del centro más cercano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Por</w:t>
      </w:r>
      <w:r>
        <w:rPr>
          <w:spacing w:val="-4"/>
        </w:rPr>
        <w:t> </w:t>
      </w:r>
      <w:r>
        <w:rPr/>
        <w:t>teléfono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por</w:t>
      </w:r>
      <w:r>
        <w:rPr>
          <w:spacing w:val="-3"/>
        </w:rPr>
        <w:t> </w:t>
      </w:r>
      <w:r>
        <w:rPr>
          <w:spacing w:val="-2"/>
        </w:rPr>
        <w:t>escrito</w:t>
      </w:r>
    </w:p>
    <w:p>
      <w:pPr>
        <w:spacing w:line="290" w:lineRule="auto" w:before="167"/>
        <w:ind w:left="437" w:right="295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un</w:t>
      </w:r>
      <w:r>
        <w:rPr>
          <w:spacing w:val="-3"/>
          <w:sz w:val="22"/>
        </w:rPr>
        <w:t> </w:t>
      </w:r>
      <w:r>
        <w:rPr>
          <w:sz w:val="22"/>
        </w:rPr>
        <w:t>servicio</w:t>
      </w:r>
      <w:r>
        <w:rPr>
          <w:spacing w:val="-3"/>
          <w:sz w:val="22"/>
        </w:rPr>
        <w:t> </w:t>
      </w:r>
      <w:r>
        <w:rPr>
          <w:sz w:val="22"/>
        </w:rPr>
        <w:t>que</w:t>
      </w:r>
      <w:r>
        <w:rPr>
          <w:spacing w:val="-3"/>
          <w:sz w:val="22"/>
        </w:rPr>
        <w:t> </w:t>
      </w:r>
      <w:r>
        <w:rPr>
          <w:sz w:val="22"/>
        </w:rPr>
        <w:t>responde</w:t>
      </w:r>
      <w:r>
        <w:rPr>
          <w:spacing w:val="-3"/>
          <w:sz w:val="22"/>
        </w:rPr>
        <w:t> </w:t>
      </w:r>
      <w:r>
        <w:rPr>
          <w:sz w:val="22"/>
        </w:rPr>
        <w:t>a</w:t>
      </w:r>
      <w:r>
        <w:rPr>
          <w:spacing w:val="-3"/>
          <w:sz w:val="22"/>
        </w:rPr>
        <w:t> </w:t>
      </w:r>
      <w:r>
        <w:rPr>
          <w:sz w:val="22"/>
        </w:rPr>
        <w:t>sus</w:t>
      </w:r>
      <w:r>
        <w:rPr>
          <w:spacing w:val="-3"/>
          <w:sz w:val="22"/>
        </w:rPr>
        <w:t> </w:t>
      </w:r>
      <w:r>
        <w:rPr>
          <w:sz w:val="22"/>
        </w:rPr>
        <w:t>preguntas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Europea.</w:t>
      </w:r>
      <w:r>
        <w:rPr>
          <w:spacing w:val="-3"/>
          <w:sz w:val="22"/>
        </w:rPr>
        <w:t> </w:t>
      </w: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acceder a él: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487" w:hanging="400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4"/>
          <w:sz w:val="22"/>
        </w:rPr>
        <w:t> </w:t>
      </w: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número</w:t>
      </w:r>
      <w:r>
        <w:rPr>
          <w:spacing w:val="-4"/>
          <w:sz w:val="22"/>
        </w:rPr>
        <w:t> </w:t>
      </w:r>
      <w:r>
        <w:rPr>
          <w:sz w:val="22"/>
        </w:rPr>
        <w:t>gratuito: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(algunos</w:t>
      </w:r>
      <w:r>
        <w:rPr>
          <w:spacing w:val="-4"/>
          <w:sz w:val="22"/>
        </w:rPr>
        <w:t> </w:t>
      </w:r>
      <w:r>
        <w:rPr>
          <w:sz w:val="22"/>
        </w:rPr>
        <w:t>operadores</w:t>
      </w:r>
      <w:r>
        <w:rPr>
          <w:spacing w:val="-4"/>
          <w:sz w:val="22"/>
        </w:rPr>
        <w:t> </w:t>
      </w:r>
      <w:r>
        <w:rPr>
          <w:sz w:val="22"/>
        </w:rPr>
        <w:t>pueden</w:t>
      </w:r>
      <w:r>
        <w:rPr>
          <w:spacing w:val="-4"/>
          <w:sz w:val="22"/>
        </w:rPr>
        <w:t> </w:t>
      </w:r>
      <w:r>
        <w:rPr>
          <w:sz w:val="22"/>
        </w:rPr>
        <w:t>cobrar</w:t>
      </w:r>
      <w:r>
        <w:rPr>
          <w:spacing w:val="-4"/>
          <w:sz w:val="22"/>
        </w:rPr>
        <w:t> </w:t>
      </w:r>
      <w:r>
        <w:rPr>
          <w:sz w:val="22"/>
        </w:rPr>
        <w:t>por</w:t>
      </w:r>
      <w:r>
        <w:rPr>
          <w:spacing w:val="-4"/>
          <w:sz w:val="22"/>
        </w:rPr>
        <w:t> </w:t>
      </w:r>
      <w:r>
        <w:rPr>
          <w:sz w:val="22"/>
        </w:rPr>
        <w:t>las </w:t>
      </w:r>
      <w:r>
        <w:rPr>
          <w:spacing w:val="-2"/>
          <w:sz w:val="22"/>
        </w:rPr>
        <w:t>llamadas);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marcando</w:t>
      </w:r>
      <w:r>
        <w:rPr>
          <w:spacing w:val="-7"/>
          <w:sz w:val="22"/>
        </w:rPr>
        <w:t> </w:t>
      </w:r>
      <w:r>
        <w:rPr>
          <w:sz w:val="22"/>
        </w:rPr>
        <w:t>el</w:t>
      </w:r>
      <w:r>
        <w:rPr>
          <w:spacing w:val="-5"/>
          <w:sz w:val="22"/>
        </w:rPr>
        <w:t> </w:t>
      </w:r>
      <w:r>
        <w:rPr>
          <w:sz w:val="22"/>
        </w:rPr>
        <w:t>número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5"/>
          <w:sz w:val="22"/>
        </w:rPr>
        <w:t> </w:t>
      </w:r>
      <w:r>
        <w:rPr>
          <w:sz w:val="22"/>
        </w:rPr>
        <w:t>la</w:t>
      </w:r>
      <w:r>
        <w:rPr>
          <w:spacing w:val="-5"/>
          <w:sz w:val="22"/>
        </w:rPr>
        <w:t> </w:t>
      </w:r>
      <w:r>
        <w:rPr>
          <w:sz w:val="22"/>
        </w:rPr>
        <w:t>centralita: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utilizando</w:t>
      </w:r>
      <w:r>
        <w:rPr>
          <w:spacing w:val="-8"/>
          <w:sz w:val="22"/>
        </w:rPr>
        <w:t> </w:t>
      </w:r>
      <w:r>
        <w:rPr>
          <w:sz w:val="22"/>
        </w:rPr>
        <w:t>el</w:t>
      </w:r>
      <w:r>
        <w:rPr>
          <w:spacing w:val="-8"/>
          <w:sz w:val="22"/>
        </w:rPr>
        <w:t> </w:t>
      </w:r>
      <w:r>
        <w:rPr>
          <w:sz w:val="22"/>
        </w:rPr>
        <w:t>siguiente</w:t>
      </w:r>
      <w:r>
        <w:rPr>
          <w:spacing w:val="-8"/>
          <w:sz w:val="22"/>
        </w:rPr>
        <w:t> </w:t>
      </w:r>
      <w:r>
        <w:rPr>
          <w:sz w:val="22"/>
        </w:rPr>
        <w:t>formulario:</w:t>
      </w:r>
      <w:r>
        <w:rPr>
          <w:spacing w:val="-7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us_es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Buscar</w:t>
      </w:r>
      <w:r>
        <w:rPr>
          <w:spacing w:val="-6"/>
        </w:rPr>
        <w:t> </w:t>
      </w:r>
      <w:r>
        <w:rPr/>
        <w:t>información</w:t>
      </w:r>
      <w:r>
        <w:rPr>
          <w:spacing w:val="-6"/>
        </w:rPr>
        <w:t> </w:t>
      </w:r>
      <w:r>
        <w:rPr/>
        <w:t>sobre</w:t>
      </w:r>
      <w:r>
        <w:rPr>
          <w:spacing w:val="-6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pStyle w:val="Heading2"/>
        <w:spacing w:before="155"/>
      </w:pPr>
      <w:r>
        <w:rPr/>
        <w:t>En</w:t>
      </w:r>
      <w:r>
        <w:rPr>
          <w:spacing w:val="-2"/>
        </w:rPr>
        <w:t> línea</w:t>
      </w:r>
    </w:p>
    <w:p>
      <w:pPr>
        <w:spacing w:line="290" w:lineRule="auto" w:before="166"/>
        <w:ind w:left="437" w:right="374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3"/>
          <w:sz w:val="22"/>
        </w:rPr>
        <w:t> </w:t>
      </w:r>
      <w:r>
        <w:rPr>
          <w:sz w:val="22"/>
        </w:rPr>
        <w:t>encontrar</w:t>
      </w:r>
      <w:r>
        <w:rPr>
          <w:spacing w:val="-3"/>
          <w:sz w:val="22"/>
        </w:rPr>
        <w:t> </w:t>
      </w:r>
      <w:r>
        <w:rPr>
          <w:sz w:val="22"/>
        </w:rPr>
        <w:t>información</w:t>
      </w:r>
      <w:r>
        <w:rPr>
          <w:spacing w:val="-3"/>
          <w:sz w:val="22"/>
        </w:rPr>
        <w:t> </w:t>
      </w:r>
      <w:r>
        <w:rPr>
          <w:sz w:val="22"/>
        </w:rPr>
        <w:t>sobre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</w:t>
      </w:r>
      <w:r>
        <w:rPr>
          <w:spacing w:val="-3"/>
          <w:sz w:val="22"/>
        </w:rPr>
        <w:t> </w:t>
      </w:r>
      <w:r>
        <w:rPr>
          <w:sz w:val="22"/>
        </w:rPr>
        <w:t>todas</w:t>
      </w:r>
      <w:r>
        <w:rPr>
          <w:spacing w:val="-3"/>
          <w:sz w:val="22"/>
        </w:rPr>
        <w:t> </w:t>
      </w:r>
      <w:r>
        <w:rPr>
          <w:sz w:val="22"/>
        </w:rPr>
        <w:t>las</w:t>
      </w:r>
      <w:r>
        <w:rPr>
          <w:spacing w:val="-3"/>
          <w:sz w:val="22"/>
        </w:rPr>
        <w:t> </w:t>
      </w:r>
      <w:r>
        <w:rPr>
          <w:sz w:val="22"/>
        </w:rPr>
        <w:t>lenguas</w:t>
      </w:r>
      <w:r>
        <w:rPr>
          <w:spacing w:val="-3"/>
          <w:sz w:val="22"/>
        </w:rPr>
        <w:t> </w:t>
      </w:r>
      <w:r>
        <w:rPr>
          <w:sz w:val="22"/>
        </w:rPr>
        <w:t>oficiales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en el sitio web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Publicaciones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6"/>
        </w:rPr>
        <w:t> </w:t>
      </w:r>
      <w:r>
        <w:rPr/>
        <w:t>Unión</w:t>
      </w:r>
      <w:r>
        <w:rPr>
          <w:spacing w:val="-5"/>
        </w:rPr>
        <w:t> </w:t>
      </w:r>
      <w:r>
        <w:rPr>
          <w:spacing w:val="-2"/>
        </w:rPr>
        <w:t>Europea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Puede</w:t>
      </w:r>
      <w:r>
        <w:rPr>
          <w:spacing w:val="-5"/>
          <w:sz w:val="22"/>
        </w:rPr>
        <w:t> </w:t>
      </w:r>
      <w:r>
        <w:rPr>
          <w:sz w:val="22"/>
        </w:rPr>
        <w:t>ver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solicitar</w:t>
      </w:r>
      <w:r>
        <w:rPr>
          <w:spacing w:val="-3"/>
          <w:sz w:val="22"/>
        </w:rPr>
        <w:t> </w:t>
      </w:r>
      <w:r>
        <w:rPr>
          <w:sz w:val="22"/>
        </w:rPr>
        <w:t>publicaciones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Unión</w:t>
      </w:r>
      <w:r>
        <w:rPr>
          <w:spacing w:val="-3"/>
          <w:sz w:val="22"/>
        </w:rPr>
        <w:t> </w:t>
      </w:r>
      <w:r>
        <w:rPr>
          <w:sz w:val="22"/>
        </w:rPr>
        <w:t>Europea</w:t>
      </w:r>
      <w:r>
        <w:rPr>
          <w:spacing w:val="-3"/>
          <w:sz w:val="22"/>
        </w:rPr>
        <w:t> </w:t>
      </w:r>
      <w:r>
        <w:rPr>
          <w:sz w:val="22"/>
        </w:rPr>
        <w:t>en:</w:t>
      </w:r>
      <w:r>
        <w:rPr>
          <w:spacing w:val="-3"/>
          <w:sz w:val="22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op.europa.eu/es/publications</w:t>
        </w:r>
      </w:hyperlink>
    </w:p>
    <w:p>
      <w:pPr>
        <w:spacing w:line="290" w:lineRule="auto" w:before="166"/>
        <w:ind w:left="437" w:right="295" w:firstLine="0"/>
        <w:jc w:val="left"/>
        <w:rPr>
          <w:sz w:val="22"/>
        </w:rPr>
      </w:pPr>
      <w:r>
        <w:rPr>
          <w:sz w:val="22"/>
        </w:rPr>
        <w:t>Si desea obtener varios ejemplares de las publicaciones gratuitas, puede contactar con Europe Direct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con</w:t>
      </w:r>
      <w:r>
        <w:rPr>
          <w:spacing w:val="-6"/>
          <w:sz w:val="22"/>
        </w:rPr>
        <w:t> </w:t>
      </w:r>
      <w:r>
        <w:rPr>
          <w:sz w:val="22"/>
        </w:rPr>
        <w:t>su</w:t>
      </w:r>
      <w:r>
        <w:rPr>
          <w:spacing w:val="-6"/>
          <w:sz w:val="22"/>
        </w:rPr>
        <w:t> </w:t>
      </w:r>
      <w:r>
        <w:rPr>
          <w:sz w:val="22"/>
        </w:rPr>
        <w:t>centro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documentación</w:t>
      </w:r>
      <w:r>
        <w:rPr>
          <w:spacing w:val="-6"/>
          <w:sz w:val="22"/>
        </w:rPr>
        <w:t> </w:t>
      </w:r>
      <w:r>
        <w:rPr>
          <w:sz w:val="22"/>
        </w:rPr>
        <w:t>local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european-union.europa.eu/contact-eu/meet-us_es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Derecho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5"/>
        </w:rPr>
        <w:t> </w:t>
      </w:r>
      <w:r>
        <w:rPr/>
        <w:t>Unión</w:t>
      </w:r>
      <w:r>
        <w:rPr>
          <w:spacing w:val="-4"/>
        </w:rPr>
        <w:t> </w:t>
      </w:r>
      <w:r>
        <w:rPr/>
        <w:t>y</w:t>
      </w:r>
      <w:r>
        <w:rPr>
          <w:spacing w:val="-5"/>
        </w:rPr>
        <w:t> </w:t>
      </w:r>
      <w:r>
        <w:rPr/>
        <w:t>documentos</w:t>
      </w:r>
      <w:r>
        <w:rPr>
          <w:spacing w:val="-4"/>
        </w:rPr>
        <w:t> </w:t>
      </w:r>
      <w:r>
        <w:rPr>
          <w:spacing w:val="-2"/>
        </w:rPr>
        <w:t>conexos</w:t>
      </w:r>
    </w:p>
    <w:p>
      <w:pPr>
        <w:spacing w:line="290" w:lineRule="auto" w:before="167"/>
        <w:ind w:left="437" w:right="757" w:firstLine="0"/>
        <w:jc w:val="left"/>
        <w:rPr>
          <w:sz w:val="22"/>
        </w:rPr>
      </w:pPr>
      <w:r>
        <w:rPr>
          <w:sz w:val="22"/>
        </w:rPr>
        <w:t>Para acceder a la información jurídica de la Unión Europea, incluido todo el Derecho de la Unión</w:t>
      </w:r>
      <w:r>
        <w:rPr>
          <w:spacing w:val="-4"/>
          <w:sz w:val="22"/>
        </w:rPr>
        <w:t> </w:t>
      </w:r>
      <w:r>
        <w:rPr>
          <w:sz w:val="22"/>
        </w:rPr>
        <w:t>desde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en</w:t>
      </w:r>
      <w:r>
        <w:rPr>
          <w:spacing w:val="-4"/>
          <w:sz w:val="22"/>
        </w:rPr>
        <w:t> </w:t>
      </w:r>
      <w:r>
        <w:rPr>
          <w:sz w:val="22"/>
        </w:rPr>
        <w:t>todas</w:t>
      </w:r>
      <w:r>
        <w:rPr>
          <w:spacing w:val="-4"/>
          <w:sz w:val="22"/>
        </w:rPr>
        <w:t> </w:t>
      </w:r>
      <w:r>
        <w:rPr>
          <w:sz w:val="22"/>
        </w:rPr>
        <w:t>las</w:t>
      </w:r>
      <w:r>
        <w:rPr>
          <w:spacing w:val="-4"/>
          <w:sz w:val="22"/>
        </w:rPr>
        <w:t> </w:t>
      </w:r>
      <w:r>
        <w:rPr>
          <w:sz w:val="22"/>
        </w:rPr>
        <w:t>versiones</w:t>
      </w:r>
      <w:r>
        <w:rPr>
          <w:spacing w:val="-4"/>
          <w:sz w:val="22"/>
        </w:rPr>
        <w:t> </w:t>
      </w:r>
      <w:r>
        <w:rPr>
          <w:sz w:val="22"/>
        </w:rPr>
        <w:t>lingüísticas</w:t>
      </w:r>
      <w:r>
        <w:rPr>
          <w:spacing w:val="-4"/>
          <w:sz w:val="22"/>
        </w:rPr>
        <w:t> </w:t>
      </w:r>
      <w:r>
        <w:rPr>
          <w:sz w:val="22"/>
        </w:rPr>
        <w:t>oficiales,</w:t>
      </w:r>
      <w:r>
        <w:rPr>
          <w:spacing w:val="-4"/>
          <w:sz w:val="22"/>
        </w:rPr>
        <w:t> </w:t>
      </w:r>
      <w:r>
        <w:rPr>
          <w:sz w:val="22"/>
        </w:rPr>
        <w:t>puede</w:t>
      </w:r>
      <w:r>
        <w:rPr>
          <w:spacing w:val="-4"/>
          <w:sz w:val="22"/>
        </w:rPr>
        <w:t> </w:t>
      </w:r>
      <w:r>
        <w:rPr>
          <w:sz w:val="22"/>
        </w:rPr>
        <w:t>consultar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1">
        <w:r>
          <w:rPr>
            <w:color w:val="0000FF"/>
            <w:sz w:val="22"/>
            <w:u w:val="single" w:color="0000FF"/>
          </w:rPr>
          <w:t>eur-</w:t>
        </w:r>
      </w:hyperlink>
      <w:r>
        <w:rPr>
          <w:color w:val="0000FF"/>
          <w:sz w:val="22"/>
          <w:u w:val="none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lex.europa.eu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Datos</w:t>
      </w:r>
      <w:r>
        <w:rPr>
          <w:spacing w:val="-5"/>
        </w:rPr>
        <w:t> </w:t>
      </w:r>
      <w:r>
        <w:rPr/>
        <w:t>abiertos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Unión</w:t>
      </w:r>
      <w:r>
        <w:rPr>
          <w:spacing w:val="-4"/>
        </w:rPr>
        <w:t> </w:t>
      </w:r>
      <w:r>
        <w:rPr>
          <w:spacing w:val="-2"/>
        </w:rPr>
        <w:t>Europea</w:t>
      </w:r>
    </w:p>
    <w:p>
      <w:pPr>
        <w:spacing w:line="290" w:lineRule="auto" w:before="166"/>
        <w:ind w:left="437" w:right="295" w:firstLine="0"/>
        <w:jc w:val="left"/>
        <w:rPr>
          <w:sz w:val="22"/>
        </w:rPr>
      </w:pPr>
      <w:r>
        <w:rPr>
          <w:sz w:val="22"/>
        </w:rPr>
        <w:t>El</w:t>
      </w:r>
      <w:r>
        <w:rPr>
          <w:spacing w:val="-4"/>
          <w:sz w:val="22"/>
        </w:rPr>
        <w:t> </w:t>
      </w:r>
      <w:r>
        <w:rPr>
          <w:sz w:val="22"/>
        </w:rPr>
        <w:t>portal</w:t>
      </w:r>
      <w:r>
        <w:rPr>
          <w:spacing w:val="-4"/>
          <w:sz w:val="22"/>
        </w:rPr>
        <w:t>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permite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acceder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conjuntos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abiertos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instituciones,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órganos y organismos de la Unión Europea, que pueden descargarse y reutilizarse gratuitamente tanto para fines comerciales como no comerciales. El portal también permite acceder a un gran número de conjuntos de datos procedentes de los países europeos.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es-E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es-E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s-ES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es-E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es-E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es" TargetMode="External"/><Relationship Id="rId8" Type="http://schemas.openxmlformats.org/officeDocument/2006/relationships/hyperlink" Target="https://european-union.europa.eu/contact-eu/write-us_es" TargetMode="External"/><Relationship Id="rId9" Type="http://schemas.openxmlformats.org/officeDocument/2006/relationships/hyperlink" Target="https://european-union.europa.eu/index_es" TargetMode="External"/><Relationship Id="rId10" Type="http://schemas.openxmlformats.org/officeDocument/2006/relationships/hyperlink" Target="https://op.europa.eu/es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es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ES</dc:title>
  <dcterms:created xsi:type="dcterms:W3CDTF">2025-04-28T11:41:16Z</dcterms:created>
  <dcterms:modified xsi:type="dcterms:W3CDTF">2025-04-28T11:41:16Z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