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39"/>
        <w:jc w:val="center"/>
      </w:pPr>
      <w:bookmarkStart w:name="Europan Union executive agencies – SK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SK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right="3861"/>
      </w:pPr>
      <w:r>
        <w:rPr/>
        <w:t>Revidované</w:t>
      </w:r>
      <w:r>
        <w:rPr>
          <w:spacing w:val="-6"/>
        </w:rPr>
        <w:t> </w:t>
      </w:r>
      <w:r>
        <w:rPr/>
        <w:t>vydanie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Korigované</w:t>
      </w:r>
      <w:r>
        <w:rPr>
          <w:spacing w:val="-6"/>
        </w:rPr>
        <w:t> </w:t>
      </w:r>
      <w:r>
        <w:rPr/>
        <w:t>vydanie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Prvé/Druhé/</w:t>
      </w:r>
      <w:r>
        <w:rPr>
          <w:i/>
        </w:rPr>
        <w:t>n</w:t>
      </w:r>
      <w:r>
        <w:rPr/>
        <w:t>-té</w:t>
      </w:r>
      <w:r>
        <w:rPr>
          <w:spacing w:val="-6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komisie. Luxemburg: Úrad pre vydávanie publikácií Európskej únie, [rok]</w:t>
      </w:r>
    </w:p>
    <w:p>
      <w:pPr>
        <w:pStyle w:val="BodyText"/>
        <w:spacing w:line="348" w:lineRule="auto"/>
        <w:ind w:right="7601"/>
      </w:pPr>
      <w:r>
        <w:rPr/>
        <w:t>© [Výkonná agentúra], [rok]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222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agentúra],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bol</w:t>
      </w:r>
      <w:r>
        <w:rPr>
          <w:spacing w:val="-4"/>
        </w:rPr>
        <w:t> </w:t>
      </w:r>
      <w:r>
        <w:rPr/>
        <w:t>vytvorený</w:t>
      </w:r>
      <w:r>
        <w:rPr>
          <w:spacing w:val="-4"/>
        </w:rPr>
        <w:t> </w:t>
      </w:r>
      <w:r>
        <w:rPr/>
        <w:t>pomocou</w:t>
      </w:r>
      <w:r>
        <w:rPr>
          <w:spacing w:val="-4"/>
        </w:rPr>
        <w:t> </w:t>
      </w:r>
      <w:r>
        <w:rPr/>
        <w:t>[názov</w:t>
      </w:r>
      <w:r>
        <w:rPr>
          <w:spacing w:val="-4"/>
        </w:rPr>
        <w:t> </w:t>
      </w:r>
      <w:r>
        <w:rPr/>
        <w:t>nástroja</w:t>
      </w:r>
      <w:r>
        <w:rPr>
          <w:spacing w:val="-4"/>
        </w:rPr>
        <w:t> </w:t>
      </w:r>
      <w:r>
        <w:rPr/>
        <w:t>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192"/>
      </w:pPr>
      <w:r>
        <w:rPr/>
        <w:t>Výkonné agentúry uplatňujú politiku Komisie týkajúcu sa opakovaného použitia materiálov, ktorá sa riadi rozhodnutím</w:t>
      </w:r>
      <w:r>
        <w:rPr>
          <w:spacing w:val="-6"/>
        </w:rPr>
        <w:t> </w:t>
      </w:r>
      <w:r>
        <w:rPr/>
        <w:t>2011/833/EÚ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opakovanom</w:t>
      </w:r>
      <w:r>
        <w:rPr>
          <w:spacing w:val="-6"/>
        </w:rPr>
        <w:t> </w:t>
      </w:r>
      <w:r>
        <w:rPr/>
        <w:t>použití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Komisie</w:t>
      </w:r>
      <w:r>
        <w:rPr>
          <w:spacing w:val="-6"/>
        </w:rPr>
        <w:t> </w:t>
      </w:r>
      <w:r>
        <w:rPr/>
        <w:t>(Ú.</w:t>
      </w:r>
      <w:r>
        <w:rPr>
          <w:spacing w:val="-6"/>
        </w:rPr>
        <w:t> </w:t>
      </w:r>
      <w:r>
        <w:rPr/>
        <w:t>v.</w:t>
      </w:r>
      <w:r>
        <w:rPr>
          <w:spacing w:val="-6"/>
        </w:rPr>
        <w:t> </w:t>
      </w:r>
      <w:r>
        <w:rPr/>
        <w:t>EÚ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 14.12.2011,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Ak nie je uvedené inak, opakované použitie tohto dokumentu je povolené v zmysle licencie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použitie je povolené za predpokladu, že sa riadne uvedie zdroj a akékoľvek zmeny.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92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[výkonná</w:t>
      </w:r>
      <w:r>
        <w:rPr>
          <w:spacing w:val="-5"/>
        </w:rPr>
        <w:t> </w:t>
      </w:r>
      <w:r>
        <w:rPr/>
        <w:t>agentúra], môžu byť podmienené získaním súhlasu príslušných nositeľov práv. Európska únia ani [výkonná agentúra] nevlastnia autorské práva vzťahujúce sa na tieto prvky: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86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80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[výkonná</w:t>
      </w:r>
      <w:r>
        <w:rPr>
          <w:spacing w:val="-5"/>
        </w:rPr>
        <w:t> </w:t>
      </w:r>
      <w:r>
        <w:rPr/>
        <w:t>agentúra], môžu byť podmienené získaním súhlasu príslušných nositeľov práv.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24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> </w:t>
      </w:r>
      <w:r>
        <w:rPr>
          <w:sz w:val="18"/>
        </w:rPr>
        <w:t>použitie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len</w:t>
      </w:r>
      <w:r>
        <w:rPr>
          <w:spacing w:val="-3"/>
          <w:sz w:val="18"/>
        </w:rPr>
        <w:t> </w:t>
      </w:r>
      <w:r>
        <w:rPr>
          <w:sz w:val="18"/>
        </w:rPr>
        <w:t>s</w:t>
      </w:r>
      <w:r>
        <w:rPr>
          <w:spacing w:val="-3"/>
          <w:sz w:val="18"/>
        </w:rPr>
        <w:t> </w:t>
      </w:r>
      <w:r>
        <w:rPr>
          <w:sz w:val="18"/>
        </w:rPr>
        <w:t>uvedením</w:t>
      </w:r>
      <w:r>
        <w:rPr>
          <w:spacing w:val="-3"/>
          <w:sz w:val="18"/>
        </w:rPr>
        <w:t> </w:t>
      </w:r>
      <w:r>
        <w:rPr>
          <w:sz w:val="18"/>
        </w:rPr>
        <w:t>zdroja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nie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skresliť</w:t>
      </w:r>
      <w:r>
        <w:rPr>
          <w:spacing w:val="-3"/>
          <w:sz w:val="18"/>
        </w:rPr>
        <w:t> </w:t>
      </w:r>
      <w:r>
        <w:rPr>
          <w:sz w:val="18"/>
        </w:rPr>
        <w:t>pôvodný</w:t>
      </w:r>
      <w:r>
        <w:rPr>
          <w:spacing w:val="-3"/>
          <w:sz w:val="18"/>
        </w:rPr>
        <w:t> </w:t>
      </w:r>
      <w:r>
        <w:rPr>
          <w:sz w:val="18"/>
        </w:rPr>
        <w:t>význam</w:t>
      </w:r>
      <w:r>
        <w:rPr>
          <w:spacing w:val="-3"/>
          <w:sz w:val="18"/>
        </w:rPr>
        <w:t> </w:t>
      </w:r>
      <w:r>
        <w:rPr>
          <w:sz w:val="18"/>
        </w:rPr>
        <w:t>alebo</w:t>
      </w:r>
      <w:r>
        <w:rPr>
          <w:spacing w:val="-3"/>
          <w:sz w:val="18"/>
        </w:rPr>
        <w:t> </w:t>
      </w:r>
      <w:r>
        <w:rPr>
          <w:sz w:val="18"/>
        </w:rPr>
        <w:t>posolstvo</w:t>
      </w:r>
      <w:r>
        <w:rPr>
          <w:spacing w:val="-3"/>
          <w:sz w:val="18"/>
        </w:rPr>
        <w:t> </w:t>
      </w:r>
      <w:r>
        <w:rPr>
          <w:sz w:val="18"/>
        </w:rPr>
        <w:t>tohto dokumentu.</w:t>
      </w:r>
      <w:r>
        <w:rPr>
          <w:spacing w:val="-3"/>
          <w:sz w:val="18"/>
        </w:rPr>
        <w:t> </w:t>
      </w:r>
      <w:r>
        <w:rPr>
          <w:sz w:val="18"/>
        </w:rPr>
        <w:t>Európska</w:t>
      </w:r>
      <w:r>
        <w:rPr>
          <w:spacing w:val="-3"/>
          <w:sz w:val="18"/>
        </w:rPr>
        <w:t> </w:t>
      </w:r>
      <w:r>
        <w:rPr>
          <w:sz w:val="18"/>
        </w:rPr>
        <w:t>komisia</w:t>
      </w:r>
      <w:r>
        <w:rPr>
          <w:spacing w:val="-3"/>
          <w:sz w:val="18"/>
        </w:rPr>
        <w:t> </w:t>
      </w:r>
      <w:r>
        <w:rPr>
          <w:sz w:val="18"/>
        </w:rPr>
        <w:t>nezodpovedá</w:t>
      </w:r>
      <w:r>
        <w:rPr>
          <w:spacing w:val="-3"/>
          <w:sz w:val="18"/>
        </w:rPr>
        <w:t> </w:t>
      </w:r>
      <w:r>
        <w:rPr>
          <w:sz w:val="18"/>
        </w:rPr>
        <w:t>za</w:t>
      </w:r>
      <w:r>
        <w:rPr>
          <w:spacing w:val="-3"/>
          <w:sz w:val="18"/>
        </w:rPr>
        <w:t> </w:t>
      </w:r>
      <w:r>
        <w:rPr>
          <w:sz w:val="18"/>
        </w:rPr>
        <w:t>žiadne</w:t>
      </w:r>
      <w:r>
        <w:rPr>
          <w:spacing w:val="-3"/>
          <w:sz w:val="18"/>
        </w:rPr>
        <w:t> </w:t>
      </w:r>
      <w:r>
        <w:rPr>
          <w:sz w:val="18"/>
        </w:rPr>
        <w:t>následky</w:t>
      </w:r>
      <w:r>
        <w:rPr>
          <w:spacing w:val="-3"/>
          <w:sz w:val="18"/>
        </w:rPr>
        <w:t> </w:t>
      </w:r>
      <w:r>
        <w:rPr>
          <w:sz w:val="18"/>
        </w:rPr>
        <w:t>opakovaného</w:t>
      </w:r>
      <w:r>
        <w:rPr>
          <w:spacing w:val="-3"/>
          <w:sz w:val="18"/>
        </w:rPr>
        <w:t> </w:t>
      </w:r>
      <w:r>
        <w:rPr>
          <w:sz w:val="18"/>
        </w:rPr>
        <w:t>použitia</w:t>
      </w:r>
      <w:r>
        <w:rPr>
          <w:spacing w:val="-3"/>
          <w:sz w:val="18"/>
        </w:rPr>
        <w:t> </w:t>
      </w:r>
      <w:r>
        <w:rPr>
          <w:sz w:val="18"/>
        </w:rPr>
        <w:t>tejto</w:t>
      </w:r>
      <w:r>
        <w:rPr>
          <w:spacing w:val="-3"/>
          <w:sz w:val="18"/>
        </w:rPr>
        <w:t> </w:t>
      </w:r>
      <w:r>
        <w:rPr>
          <w:sz w:val="18"/>
        </w:rPr>
        <w:t>publikácie.</w:t>
      </w:r>
      <w:r>
        <w:rPr>
          <w:spacing w:val="-3"/>
          <w:sz w:val="18"/>
        </w:rPr>
        <w:t> </w:t>
      </w:r>
      <w:r>
        <w:rPr>
          <w:sz w:val="18"/>
        </w:rPr>
        <w:t>Politika</w:t>
      </w:r>
      <w:r>
        <w:rPr>
          <w:spacing w:val="-3"/>
          <w:sz w:val="18"/>
        </w:rPr>
        <w:t> </w:t>
      </w:r>
      <w:r>
        <w:rPr>
          <w:sz w:val="18"/>
        </w:rPr>
        <w:t>v</w:t>
      </w:r>
      <w:r>
        <w:rPr>
          <w:spacing w:val="-3"/>
          <w:sz w:val="18"/>
        </w:rPr>
        <w:t> </w:t>
      </w:r>
      <w:r>
        <w:rPr>
          <w:sz w:val="18"/>
        </w:rPr>
        <w:t>oblasti opakovaného použitia dokumentov Európskej komisie sa vykonáva rozhodnutím Komisie 2011/833/EÚ z 12. decembra 2011 o opakovanom použití dokumentov Komisie (Ú. v. EÚ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437" w:right="192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10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595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europa.eu/european-union/contact/write-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345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10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192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192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sk-SK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sk-SK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a.eu/european-union/contact/meet-us_sk" TargetMode="External"/><Relationship Id="rId11" Type="http://schemas.openxmlformats.org/officeDocument/2006/relationships/hyperlink" Target="https://europa.eu/european-union/contact/write-us_sk" TargetMode="External"/><Relationship Id="rId12" Type="http://schemas.openxmlformats.org/officeDocument/2006/relationships/hyperlink" Target="https://european-union.europa.eu/index_sk" TargetMode="External"/><Relationship Id="rId13" Type="http://schemas.openxmlformats.org/officeDocument/2006/relationships/hyperlink" Target="https://op.europa.eu/sk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k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SK</dc:title>
  <dcterms:created xsi:type="dcterms:W3CDTF">2025-04-28T11:38:59Z</dcterms:created>
  <dcterms:modified xsi:type="dcterms:W3CDTF">2025-04-28T11:38:59Z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