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40"/>
        <w:jc w:val="center"/>
      </w:pPr>
      <w:bookmarkStart w:name="Europan Union executive agencies – LT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LT</w:t>
      </w:r>
    </w:p>
    <w:p>
      <w:pPr>
        <w:pStyle w:val="BodyText"/>
        <w:spacing w:before="71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before="80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[spaustuvė]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[šalis]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Rankraštis</w:t>
      </w:r>
      <w:r>
        <w:rPr>
          <w:spacing w:val="-3"/>
        </w:rPr>
        <w:t> </w:t>
      </w:r>
      <w:r>
        <w:rPr/>
        <w:t>parengtas</w:t>
      </w:r>
      <w:r>
        <w:rPr>
          <w:spacing w:val="-3"/>
        </w:rPr>
        <w:t> </w:t>
      </w:r>
      <w:r>
        <w:rPr/>
        <w:t>[metai]</w:t>
      </w:r>
      <w:r>
        <w:rPr>
          <w:spacing w:val="-3"/>
        </w:rPr>
        <w:t> </w:t>
      </w:r>
      <w:r>
        <w:rPr>
          <w:spacing w:val="-2"/>
        </w:rPr>
        <w:t>[mėnuo]</w:t>
      </w:r>
    </w:p>
    <w:p>
      <w:pPr>
        <w:pStyle w:val="BodyText"/>
        <w:spacing w:line="540" w:lineRule="atLeast"/>
        <w:ind w:right="2911"/>
      </w:pPr>
      <w:r>
        <w:rPr/>
        <w:t>Pataisytasis</w:t>
      </w:r>
      <w:r>
        <w:rPr>
          <w:spacing w:val="-4"/>
        </w:rPr>
        <w:t> </w:t>
      </w:r>
      <w:r>
        <w:rPr/>
        <w:t>leidimas</w:t>
      </w:r>
      <w:r>
        <w:rPr>
          <w:spacing w:val="-5"/>
        </w:rPr>
        <w:t> </w:t>
      </w:r>
      <w:r>
        <w:rPr/>
        <w:t>/</w:t>
      </w:r>
      <w:r>
        <w:rPr>
          <w:spacing w:val="-4"/>
        </w:rPr>
        <w:t> </w:t>
      </w:r>
      <w:r>
        <w:rPr/>
        <w:t>Ištaisytasis</w:t>
      </w:r>
      <w:r>
        <w:rPr>
          <w:spacing w:val="-4"/>
        </w:rPr>
        <w:t> </w:t>
      </w:r>
      <w:r>
        <w:rPr/>
        <w:t>leidimas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Pirmasis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Antrasis</w:t>
      </w:r>
      <w:r>
        <w:rPr>
          <w:spacing w:val="-4"/>
        </w:rPr>
        <w:t> </w:t>
      </w:r>
      <w:r>
        <w:rPr/>
        <w:t>/</w:t>
      </w:r>
      <w:r>
        <w:rPr>
          <w:spacing w:val="-5"/>
        </w:rPr>
        <w:t> </w:t>
      </w:r>
      <w:r>
        <w:rPr>
          <w:i/>
        </w:rPr>
        <w:t>n</w:t>
      </w:r>
      <w:r>
        <w:rPr/>
        <w:t>-asis</w:t>
      </w:r>
      <w:r>
        <w:rPr>
          <w:spacing w:val="-4"/>
        </w:rPr>
        <w:t> </w:t>
      </w:r>
      <w:r>
        <w:rPr/>
        <w:t>leidimas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910"/>
      </w:pPr>
      <w:r>
        <w:rPr/>
        <w:t>Šiame</w:t>
      </w:r>
      <w:r>
        <w:rPr>
          <w:spacing w:val="-5"/>
        </w:rPr>
        <w:t> </w:t>
      </w:r>
      <w:r>
        <w:rPr/>
        <w:t>dokumente</w:t>
      </w:r>
      <w:r>
        <w:rPr>
          <w:spacing w:val="-5"/>
        </w:rPr>
        <w:t> </w:t>
      </w:r>
      <w:r>
        <w:rPr/>
        <w:t>pateikiama</w:t>
      </w:r>
      <w:r>
        <w:rPr>
          <w:spacing w:val="-5"/>
        </w:rPr>
        <w:t> </w:t>
      </w:r>
      <w:r>
        <w:rPr/>
        <w:t>nuomonė</w:t>
      </w:r>
      <w:r>
        <w:rPr>
          <w:spacing w:val="-5"/>
        </w:rPr>
        <w:t> </w:t>
      </w:r>
      <w:r>
        <w:rPr/>
        <w:t>negali</w:t>
      </w:r>
      <w:r>
        <w:rPr>
          <w:spacing w:val="-5"/>
        </w:rPr>
        <w:t> </w:t>
      </w:r>
      <w:r>
        <w:rPr/>
        <w:t>būti</w:t>
      </w:r>
      <w:r>
        <w:rPr>
          <w:spacing w:val="-5"/>
        </w:rPr>
        <w:t> </w:t>
      </w:r>
      <w:r>
        <w:rPr/>
        <w:t>laikoma</w:t>
      </w:r>
      <w:r>
        <w:rPr>
          <w:spacing w:val="-5"/>
        </w:rPr>
        <w:t> </w:t>
      </w:r>
      <w:r>
        <w:rPr/>
        <w:t>oficialia</w:t>
      </w:r>
      <w:r>
        <w:rPr>
          <w:spacing w:val="-5"/>
        </w:rPr>
        <w:t> </w:t>
      </w:r>
      <w:r>
        <w:rPr/>
        <w:t>Europos</w:t>
      </w:r>
      <w:r>
        <w:rPr>
          <w:spacing w:val="-5"/>
        </w:rPr>
        <w:t> </w:t>
      </w:r>
      <w:r>
        <w:rPr/>
        <w:t>Komisijos</w:t>
      </w:r>
      <w:r>
        <w:rPr>
          <w:spacing w:val="-5"/>
        </w:rPr>
        <w:t> </w:t>
      </w:r>
      <w:r>
        <w:rPr/>
        <w:t>pozicija. Liuksemburgas: Europos Sąjungos leidinių biuras, [metai]</w:t>
      </w:r>
    </w:p>
    <w:p>
      <w:pPr>
        <w:pStyle w:val="BodyText"/>
        <w:spacing w:line="348" w:lineRule="auto"/>
        <w:ind w:right="7597"/>
      </w:pPr>
      <w:r>
        <w:rPr/>
        <w:t>© [Vykdomoji įstaiga], [metai]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right="191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424640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6260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7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1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9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9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9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6"/>
        </w:rPr>
        <w:t> </w:t>
      </w:r>
      <w:r>
        <w:rPr/>
        <w:t>[Vykdomoji</w:t>
      </w:r>
      <w:r>
        <w:rPr>
          <w:spacing w:val="-6"/>
        </w:rPr>
        <w:t> </w:t>
      </w:r>
      <w:r>
        <w:rPr/>
        <w:t>įstaiga],</w:t>
      </w:r>
      <w:r>
        <w:rPr>
          <w:spacing w:val="-6"/>
        </w:rPr>
        <w:t> </w:t>
      </w:r>
      <w:r>
        <w:rPr/>
        <w:t>[metai].</w:t>
      </w:r>
      <w:r>
        <w:rPr>
          <w:spacing w:val="-6"/>
        </w:rPr>
        <w:t> </w:t>
      </w:r>
      <w:r>
        <w:rPr/>
        <w:t>Dalis</w:t>
      </w:r>
      <w:r>
        <w:rPr>
          <w:spacing w:val="-6"/>
        </w:rPr>
        <w:t> </w:t>
      </w:r>
      <w:r>
        <w:rPr/>
        <w:t>turinio</w:t>
      </w:r>
      <w:r>
        <w:rPr>
          <w:spacing w:val="-6"/>
        </w:rPr>
        <w:t> </w:t>
      </w:r>
      <w:r>
        <w:rPr/>
        <w:t>sukurta</w:t>
      </w:r>
      <w:r>
        <w:rPr>
          <w:spacing w:val="-6"/>
        </w:rPr>
        <w:t> </w:t>
      </w:r>
      <w:r>
        <w:rPr/>
        <w:t>naudojant</w:t>
      </w:r>
      <w:r>
        <w:rPr>
          <w:spacing w:val="-6"/>
        </w:rPr>
        <w:t> </w:t>
      </w:r>
      <w:r>
        <w:rPr/>
        <w:t>[DI</w:t>
      </w:r>
      <w:r>
        <w:rPr>
          <w:spacing w:val="-6"/>
        </w:rPr>
        <w:t> </w:t>
      </w:r>
      <w:r>
        <w:rPr/>
        <w:t>priemonės</w:t>
      </w:r>
      <w:r>
        <w:rPr>
          <w:spacing w:val="-6"/>
        </w:rPr>
        <w:t> </w:t>
      </w:r>
      <w:r>
        <w:rPr/>
        <w:t>pavadinimas].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403"/>
      </w:pPr>
      <w:r>
        <w:rPr/>
        <w:t>Vykdomosios įstaigos taiko Komisijos dokumentų pakartotinio naudojimo politiką, kuria įgyvendinama 2011 m. gruodžio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d.</w:t>
      </w:r>
      <w:r>
        <w:rPr>
          <w:spacing w:val="-5"/>
        </w:rPr>
        <w:t> </w:t>
      </w:r>
      <w:r>
        <w:rPr/>
        <w:t>Sprendimu</w:t>
      </w:r>
      <w:r>
        <w:rPr>
          <w:spacing w:val="-5"/>
        </w:rPr>
        <w:t> </w:t>
      </w:r>
      <w:r>
        <w:rPr/>
        <w:t>2011/833/ES</w:t>
      </w:r>
      <w:r>
        <w:rPr>
          <w:spacing w:val="-5"/>
        </w:rPr>
        <w:t> </w:t>
      </w:r>
      <w:r>
        <w:rPr/>
        <w:t>dėl</w:t>
      </w:r>
      <w:r>
        <w:rPr>
          <w:spacing w:val="-5"/>
        </w:rPr>
        <w:t> </w:t>
      </w:r>
      <w:r>
        <w:rPr/>
        <w:t>pakartotinio</w:t>
      </w:r>
      <w:r>
        <w:rPr>
          <w:spacing w:val="-5"/>
        </w:rPr>
        <w:t> </w:t>
      </w:r>
      <w:r>
        <w:rPr/>
        <w:t>Komisijos</w:t>
      </w:r>
      <w:r>
        <w:rPr>
          <w:spacing w:val="-5"/>
        </w:rPr>
        <w:t> </w:t>
      </w:r>
      <w:r>
        <w:rPr/>
        <w:t>dokumentų</w:t>
      </w:r>
      <w:r>
        <w:rPr>
          <w:spacing w:val="-5"/>
        </w:rPr>
        <w:t> </w:t>
      </w:r>
      <w:r>
        <w:rPr/>
        <w:t>naudojimo</w:t>
      </w:r>
      <w:r>
        <w:rPr>
          <w:spacing w:val="-5"/>
        </w:rPr>
        <w:t> </w:t>
      </w:r>
      <w:r>
        <w:rPr/>
        <w:t>(OL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14, p.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before="98"/>
      </w:pPr>
      <w:r>
        <w:rPr/>
        <w:t>Jeigu</w:t>
      </w:r>
      <w:r>
        <w:rPr>
          <w:spacing w:val="-8"/>
        </w:rPr>
        <w:t> </w:t>
      </w:r>
      <w:r>
        <w:rPr/>
        <w:t>nenurodyta</w:t>
      </w:r>
      <w:r>
        <w:rPr>
          <w:spacing w:val="-8"/>
        </w:rPr>
        <w:t> </w:t>
      </w:r>
      <w:r>
        <w:rPr/>
        <w:t>kitaip,</w:t>
      </w:r>
      <w:r>
        <w:rPr>
          <w:spacing w:val="-7"/>
        </w:rPr>
        <w:t> </w:t>
      </w:r>
      <w:r>
        <w:rPr/>
        <w:t>šį</w:t>
      </w:r>
      <w:r>
        <w:rPr>
          <w:spacing w:val="-8"/>
        </w:rPr>
        <w:t> </w:t>
      </w:r>
      <w:r>
        <w:rPr/>
        <w:t>dokumentą</w:t>
      </w:r>
      <w:r>
        <w:rPr>
          <w:spacing w:val="-8"/>
        </w:rPr>
        <w:t> </w:t>
      </w:r>
      <w:r>
        <w:rPr/>
        <w:t>leidžiama</w:t>
      </w:r>
      <w:r>
        <w:rPr>
          <w:spacing w:val="-7"/>
        </w:rPr>
        <w:t> </w:t>
      </w:r>
      <w:r>
        <w:rPr/>
        <w:t>pakartotinai</w:t>
      </w:r>
      <w:r>
        <w:rPr>
          <w:spacing w:val="-8"/>
        </w:rPr>
        <w:t> </w:t>
      </w:r>
      <w:r>
        <w:rPr/>
        <w:t>naudoti</w:t>
      </w:r>
      <w:r>
        <w:rPr>
          <w:spacing w:val="-8"/>
        </w:rPr>
        <w:t> </w:t>
      </w:r>
      <w:r>
        <w:rPr/>
        <w:t>pagal</w:t>
      </w:r>
      <w:r>
        <w:rPr>
          <w:spacing w:val="-7"/>
        </w:rPr>
        <w:t> </w:t>
      </w:r>
      <w:r>
        <w:rPr/>
        <w:t>licenciją</w:t>
      </w:r>
      <w:r>
        <w:rPr>
          <w:spacing w:val="-8"/>
        </w:rPr>
        <w:t> </w:t>
      </w:r>
      <w:r>
        <w:rPr/>
        <w:t>„Creative</w:t>
      </w:r>
      <w:r>
        <w:rPr>
          <w:spacing w:val="-7"/>
        </w:rPr>
        <w:t> </w:t>
      </w:r>
      <w:r>
        <w:rPr>
          <w:spacing w:val="-2"/>
        </w:rPr>
        <w:t>Commons</w:t>
      </w:r>
    </w:p>
    <w:p>
      <w:pPr>
        <w:pStyle w:val="BodyText"/>
        <w:spacing w:line="244" w:lineRule="auto" w:before="4"/>
      </w:pPr>
      <w:r>
        <w:rPr/>
        <w:t>Attribution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International“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Tai</w:t>
      </w:r>
      <w:r>
        <w:rPr>
          <w:spacing w:val="-7"/>
          <w:u w:val="none"/>
        </w:rPr>
        <w:t> </w:t>
      </w:r>
      <w:r>
        <w:rPr>
          <w:u w:val="none"/>
        </w:rPr>
        <w:t>reiškia,</w:t>
      </w:r>
      <w:r>
        <w:rPr>
          <w:spacing w:val="-7"/>
          <w:u w:val="none"/>
        </w:rPr>
        <w:t> </w:t>
      </w:r>
      <w:r>
        <w:rPr>
          <w:u w:val="none"/>
        </w:rPr>
        <w:t>kad</w:t>
      </w:r>
      <w:r>
        <w:rPr>
          <w:spacing w:val="-7"/>
          <w:u w:val="none"/>
        </w:rPr>
        <w:t> </w:t>
      </w:r>
      <w:r>
        <w:rPr>
          <w:u w:val="none"/>
        </w:rPr>
        <w:t>pakartotinai naudoti leidžiama, jeigu tinkamai nurodoma autorystė ir visi pakeitimai.</w:t>
      </w:r>
    </w:p>
    <w:p>
      <w:pPr>
        <w:pStyle w:val="BodyText"/>
        <w:spacing w:before="75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13"/>
      </w:pPr>
      <w:r>
        <w:rPr/>
        <w:t>Norint naudoti ar atgaminti elementus, kurių autorių teisės nepriklauso Europos Sąjungai arba [vykdomajai</w:t>
      </w:r>
      <w:r>
        <w:rPr/>
        <w:t> agentūrai],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</w:t>
      </w:r>
      <w:r>
        <w:rPr>
          <w:spacing w:val="-4"/>
        </w:rPr>
        <w:t> </w:t>
      </w:r>
      <w:r>
        <w:rPr/>
        <w:t>tiesioginį</w:t>
      </w:r>
      <w:r>
        <w:rPr>
          <w:spacing w:val="-4"/>
        </w:rPr>
        <w:t> </w:t>
      </w:r>
      <w:r>
        <w:rPr/>
        <w:t>atitinkamų</w:t>
      </w:r>
      <w:r>
        <w:rPr>
          <w:spacing w:val="-4"/>
        </w:rPr>
        <w:t> </w:t>
      </w:r>
      <w:r>
        <w:rPr/>
        <w:t>teisių</w:t>
      </w:r>
      <w:r>
        <w:rPr>
          <w:spacing w:val="-4"/>
        </w:rPr>
        <w:t> </w:t>
      </w:r>
      <w:r>
        <w:rPr/>
        <w:t>turėtojų</w:t>
      </w:r>
      <w:r>
        <w:rPr>
          <w:spacing w:val="-4"/>
        </w:rPr>
        <w:t> </w:t>
      </w:r>
      <w:r>
        <w:rPr/>
        <w:t>leidimą.</w:t>
      </w:r>
      <w:r>
        <w:rPr>
          <w:spacing w:val="-3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</w:t>
      </w:r>
      <w:r>
        <w:rPr>
          <w:spacing w:val="-4"/>
        </w:rPr>
        <w:t> </w:t>
      </w:r>
      <w:r>
        <w:rPr/>
        <w:t>arba</w:t>
      </w:r>
      <w:r>
        <w:rPr>
          <w:spacing w:val="-4"/>
        </w:rPr>
        <w:t> </w:t>
      </w:r>
      <w:r>
        <w:rPr/>
        <w:t>[vykdomajai</w:t>
      </w:r>
      <w:r>
        <w:rPr>
          <w:spacing w:val="-4"/>
        </w:rPr>
        <w:t> </w:t>
      </w:r>
      <w:r>
        <w:rPr/>
        <w:t>agentūrai] nepriklauso šių elementų autorių teisės: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viršelis,</w:t>
      </w:r>
      <w:r>
        <w:rPr>
          <w:spacing w:val="-7"/>
          <w:sz w:val="20"/>
        </w:rPr>
        <w:t> </w:t>
      </w:r>
      <w:r>
        <w:rPr>
          <w:sz w:val="20"/>
        </w:rPr>
        <w:t>[atitinkamas</w:t>
      </w:r>
      <w:r>
        <w:rPr>
          <w:spacing w:val="-7"/>
          <w:sz w:val="20"/>
        </w:rPr>
        <w:t> </w:t>
      </w:r>
      <w:r>
        <w:rPr>
          <w:sz w:val="20"/>
        </w:rPr>
        <w:t>elementas],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6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[atitinkamas</w:t>
      </w:r>
      <w:r>
        <w:rPr>
          <w:spacing w:val="-6"/>
          <w:sz w:val="20"/>
        </w:rPr>
        <w:t> </w:t>
      </w:r>
      <w:r>
        <w:rPr>
          <w:sz w:val="20"/>
        </w:rPr>
        <w:t>elementas],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5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[autorius],</w:t>
      </w:r>
      <w:r>
        <w:rPr>
          <w:spacing w:val="-6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48" w:hanging="380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[atitinkamas</w:t>
      </w:r>
      <w:r>
        <w:rPr>
          <w:spacing w:val="-4"/>
          <w:sz w:val="20"/>
        </w:rPr>
        <w:t> </w:t>
      </w:r>
      <w:r>
        <w:rPr>
          <w:sz w:val="20"/>
        </w:rPr>
        <w:t>elementas],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3"/>
          <w:sz w:val="20"/>
        </w:rPr>
        <w:t> </w:t>
      </w:r>
      <w:r>
        <w:rPr>
          <w:sz w:val="20"/>
        </w:rPr>
        <w:t>pvz.,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[autorius],</w:t>
      </w:r>
      <w:r>
        <w:rPr>
          <w:spacing w:val="-4"/>
          <w:sz w:val="20"/>
        </w:rPr>
        <w:t> </w:t>
      </w:r>
      <w:r>
        <w:rPr>
          <w:sz w:val="20"/>
        </w:rPr>
        <w:t>licencijuota</w:t>
      </w:r>
      <w:r>
        <w:rPr>
          <w:spacing w:val="-4"/>
          <w:sz w:val="20"/>
        </w:rPr>
        <w:t> </w:t>
      </w:r>
      <w:r>
        <w:rPr>
          <w:sz w:val="20"/>
        </w:rPr>
        <w:t>pagal</w:t>
      </w:r>
      <w:r>
        <w:rPr>
          <w:spacing w:val="-4"/>
          <w:sz w:val="20"/>
        </w:rPr>
        <w:t> </w:t>
      </w:r>
      <w:r>
        <w:rPr>
          <w:sz w:val="20"/>
        </w:rPr>
        <w:t>licenciją</w:t>
      </w:r>
      <w:r>
        <w:rPr>
          <w:spacing w:val="-4"/>
          <w:sz w:val="20"/>
        </w:rPr>
        <w:t> </w:t>
      </w:r>
      <w:r>
        <w:rPr>
          <w:sz w:val="20"/>
        </w:rPr>
        <w:t>CC BY 2.0 [+ nuoroda į licenciją],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[iliustracija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nuotrauka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kt.],</w:t>
      </w:r>
      <w:r>
        <w:rPr>
          <w:spacing w:val="-5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[menininko</w:t>
      </w:r>
      <w:r>
        <w:rPr>
          <w:spacing w:val="-5"/>
          <w:sz w:val="20"/>
        </w:rPr>
        <w:t> </w:t>
      </w:r>
      <w:r>
        <w:rPr>
          <w:sz w:val="20"/>
        </w:rPr>
        <w:t>vardas,</w:t>
      </w:r>
      <w:r>
        <w:rPr>
          <w:spacing w:val="-5"/>
          <w:sz w:val="20"/>
        </w:rPr>
        <w:t> </w:t>
      </w:r>
      <w:r>
        <w:rPr>
          <w:sz w:val="20"/>
        </w:rPr>
        <w:t>pavardė],</w:t>
      </w:r>
      <w:r>
        <w:rPr>
          <w:spacing w:val="-5"/>
          <w:sz w:val="20"/>
        </w:rPr>
        <w:t> </w:t>
      </w:r>
      <w:r>
        <w:rPr>
          <w:sz w:val="20"/>
        </w:rPr>
        <w:t>[metai],</w:t>
      </w:r>
      <w:r>
        <w:rPr>
          <w:spacing w:val="-5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403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</w:t>
      </w:r>
      <w:r>
        <w:rPr>
          <w:spacing w:val="-4"/>
        </w:rPr>
        <w:t> </w:t>
      </w:r>
      <w:r>
        <w:rPr/>
        <w:t>arba</w:t>
      </w:r>
      <w:r>
        <w:rPr>
          <w:spacing w:val="-4"/>
        </w:rPr>
        <w:t> </w:t>
      </w:r>
      <w:r>
        <w:rPr/>
        <w:t>[vykdomajai agentūrai], gali reikėti gauti tiesioginį atitinkamų teisių turėtojų leidimą.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5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196147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444668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5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6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before="60"/>
        <w:ind w:left="813" w:right="0" w:firstLine="0"/>
        <w:jc w:val="left"/>
        <w:rPr>
          <w:sz w:val="18"/>
        </w:rPr>
      </w:pPr>
      <w:r>
        <w:rPr>
          <w:sz w:val="18"/>
        </w:rPr>
        <w:t>Leidžiama</w:t>
      </w:r>
      <w:r>
        <w:rPr>
          <w:spacing w:val="-6"/>
          <w:sz w:val="18"/>
        </w:rPr>
        <w:t> </w:t>
      </w:r>
      <w:r>
        <w:rPr>
          <w:sz w:val="18"/>
        </w:rPr>
        <w:t>pakartotinai</w:t>
      </w:r>
      <w:r>
        <w:rPr>
          <w:spacing w:val="-6"/>
          <w:sz w:val="18"/>
        </w:rPr>
        <w:t> </w:t>
      </w:r>
      <w:r>
        <w:rPr>
          <w:sz w:val="18"/>
        </w:rPr>
        <w:t>naudoti,</w:t>
      </w:r>
      <w:r>
        <w:rPr>
          <w:spacing w:val="-6"/>
          <w:sz w:val="18"/>
        </w:rPr>
        <w:t> </w:t>
      </w:r>
      <w:r>
        <w:rPr>
          <w:sz w:val="18"/>
        </w:rPr>
        <w:t>jei</w:t>
      </w:r>
      <w:r>
        <w:rPr>
          <w:spacing w:val="-6"/>
          <w:sz w:val="18"/>
        </w:rPr>
        <w:t> </w:t>
      </w:r>
      <w:r>
        <w:rPr>
          <w:sz w:val="18"/>
        </w:rPr>
        <w:t>nurodomas</w:t>
      </w:r>
      <w:r>
        <w:rPr>
          <w:spacing w:val="-6"/>
          <w:sz w:val="18"/>
        </w:rPr>
        <w:t> </w:t>
      </w:r>
      <w:r>
        <w:rPr>
          <w:sz w:val="18"/>
        </w:rPr>
        <w:t>šaltinis</w:t>
      </w:r>
      <w:r>
        <w:rPr>
          <w:spacing w:val="-6"/>
          <w:sz w:val="18"/>
        </w:rPr>
        <w:t> </w:t>
      </w:r>
      <w:r>
        <w:rPr>
          <w:sz w:val="18"/>
        </w:rPr>
        <w:t>ir</w:t>
      </w:r>
      <w:r>
        <w:rPr>
          <w:spacing w:val="-6"/>
          <w:sz w:val="18"/>
        </w:rPr>
        <w:t> </w:t>
      </w:r>
      <w:r>
        <w:rPr>
          <w:sz w:val="18"/>
        </w:rPr>
        <w:t>neiškreipiama</w:t>
      </w:r>
      <w:r>
        <w:rPr>
          <w:spacing w:val="-6"/>
          <w:sz w:val="18"/>
        </w:rPr>
        <w:t> </w:t>
      </w:r>
      <w:r>
        <w:rPr>
          <w:sz w:val="18"/>
        </w:rPr>
        <w:t>pirminė</w:t>
      </w:r>
      <w:r>
        <w:rPr>
          <w:spacing w:val="-6"/>
          <w:sz w:val="18"/>
        </w:rPr>
        <w:t> </w:t>
      </w:r>
      <w:r>
        <w:rPr>
          <w:sz w:val="18"/>
        </w:rPr>
        <w:t>dokumento</w:t>
      </w:r>
      <w:r>
        <w:rPr>
          <w:spacing w:val="-6"/>
          <w:sz w:val="18"/>
        </w:rPr>
        <w:t> </w:t>
      </w:r>
      <w:r>
        <w:rPr>
          <w:sz w:val="18"/>
        </w:rPr>
        <w:t>prasmė</w:t>
      </w:r>
      <w:r>
        <w:rPr>
          <w:spacing w:val="-6"/>
          <w:sz w:val="18"/>
        </w:rPr>
        <w:t> </w:t>
      </w:r>
      <w:r>
        <w:rPr>
          <w:sz w:val="18"/>
        </w:rPr>
        <w:t>ar</w:t>
      </w:r>
      <w:r>
        <w:rPr>
          <w:spacing w:val="-5"/>
          <w:sz w:val="18"/>
        </w:rPr>
        <w:t> </w:t>
      </w:r>
      <w:r>
        <w:rPr>
          <w:spacing w:val="-2"/>
          <w:sz w:val="18"/>
        </w:rPr>
        <w:t>mintis.</w:t>
      </w:r>
    </w:p>
    <w:p>
      <w:pPr>
        <w:spacing w:line="271" w:lineRule="auto" w:before="27"/>
        <w:ind w:left="813" w:right="0" w:firstLine="0"/>
        <w:jc w:val="left"/>
        <w:rPr>
          <w:sz w:val="18"/>
        </w:rPr>
      </w:pPr>
      <w:r>
        <w:rPr>
          <w:sz w:val="18"/>
        </w:rPr>
        <w:t>Už</w:t>
      </w:r>
      <w:r>
        <w:rPr>
          <w:spacing w:val="-4"/>
          <w:sz w:val="18"/>
        </w:rPr>
        <w:t> </w:t>
      </w:r>
      <w:r>
        <w:rPr>
          <w:sz w:val="18"/>
        </w:rPr>
        <w:t>pakartotinio</w:t>
      </w:r>
      <w:r>
        <w:rPr>
          <w:spacing w:val="-4"/>
          <w:sz w:val="18"/>
        </w:rPr>
        <w:t> </w:t>
      </w:r>
      <w:r>
        <w:rPr>
          <w:sz w:val="18"/>
        </w:rPr>
        <w:t>naudojimo</w:t>
      </w:r>
      <w:r>
        <w:rPr>
          <w:spacing w:val="-4"/>
          <w:sz w:val="18"/>
        </w:rPr>
        <w:t> </w:t>
      </w:r>
      <w:r>
        <w:rPr>
          <w:sz w:val="18"/>
        </w:rPr>
        <w:t>padarinius</w:t>
      </w:r>
      <w:r>
        <w:rPr>
          <w:spacing w:val="-4"/>
          <w:sz w:val="18"/>
        </w:rPr>
        <w:t> </w:t>
      </w:r>
      <w:r>
        <w:rPr>
          <w:sz w:val="18"/>
        </w:rPr>
        <w:t>Europos</w:t>
      </w:r>
      <w:r>
        <w:rPr>
          <w:spacing w:val="-4"/>
          <w:sz w:val="18"/>
        </w:rPr>
        <w:t> </w:t>
      </w:r>
      <w:r>
        <w:rPr>
          <w:sz w:val="18"/>
        </w:rPr>
        <w:t>Komisija</w:t>
      </w:r>
      <w:r>
        <w:rPr>
          <w:spacing w:val="-4"/>
          <w:sz w:val="18"/>
        </w:rPr>
        <w:t> </w:t>
      </w:r>
      <w:r>
        <w:rPr>
          <w:sz w:val="18"/>
        </w:rPr>
        <w:t>neatsako.</w:t>
      </w:r>
      <w:r>
        <w:rPr>
          <w:spacing w:val="-4"/>
          <w:sz w:val="18"/>
        </w:rPr>
        <w:t> </w:t>
      </w:r>
      <w:r>
        <w:rPr>
          <w:sz w:val="18"/>
        </w:rPr>
        <w:t>Europos</w:t>
      </w:r>
      <w:r>
        <w:rPr>
          <w:spacing w:val="-4"/>
          <w:sz w:val="18"/>
        </w:rPr>
        <w:t> </w:t>
      </w:r>
      <w:r>
        <w:rPr>
          <w:sz w:val="18"/>
        </w:rPr>
        <w:t>Komisijos</w:t>
      </w:r>
      <w:r>
        <w:rPr>
          <w:spacing w:val="-4"/>
          <w:sz w:val="18"/>
        </w:rPr>
        <w:t> </w:t>
      </w:r>
      <w:r>
        <w:rPr>
          <w:sz w:val="18"/>
        </w:rPr>
        <w:t>dokumentų</w:t>
      </w:r>
      <w:r>
        <w:rPr>
          <w:spacing w:val="-4"/>
          <w:sz w:val="18"/>
        </w:rPr>
        <w:t> </w:t>
      </w:r>
      <w:r>
        <w:rPr>
          <w:sz w:val="18"/>
        </w:rPr>
        <w:t>pakartotinio</w:t>
      </w:r>
      <w:r>
        <w:rPr>
          <w:spacing w:val="-4"/>
          <w:sz w:val="18"/>
        </w:rPr>
        <w:t> </w:t>
      </w:r>
      <w:r>
        <w:rPr>
          <w:sz w:val="18"/>
        </w:rPr>
        <w:t>naudojimo politika įgyvendinama 2011 m. gruodžio 12 d. Komisijos sprendimu 2011/833/ES dėl pakartotinio Komisijos dokumentų naudojimo (OL L 330, 2011 12 14, p.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68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Kaina</w:t>
      </w:r>
      <w:r>
        <w:rPr>
          <w:spacing w:val="-6"/>
        </w:rPr>
        <w:t> </w:t>
      </w:r>
      <w:r>
        <w:rPr/>
        <w:t>Liuksemburge</w:t>
      </w:r>
      <w:r>
        <w:rPr>
          <w:spacing w:val="-5"/>
        </w:rPr>
        <w:t> </w:t>
      </w:r>
      <w:r>
        <w:rPr/>
        <w:t>(be</w:t>
      </w:r>
      <w:r>
        <w:rPr>
          <w:spacing w:val="-5"/>
        </w:rPr>
        <w:t> </w:t>
      </w:r>
      <w:r>
        <w:rPr/>
        <w:t>PVM):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680"/>
        </w:sectPr>
      </w:pPr>
    </w:p>
    <w:p>
      <w:pPr>
        <w:pStyle w:val="Heading1"/>
        <w:spacing w:before="73"/>
      </w:pPr>
      <w:r>
        <w:rPr/>
        <w:t>Kaip</w:t>
      </w:r>
      <w:r>
        <w:rPr>
          <w:spacing w:val="-6"/>
        </w:rPr>
        <w:t> </w:t>
      </w:r>
      <w:r>
        <w:rPr/>
        <w:t>susisiekti</w:t>
      </w:r>
      <w:r>
        <w:rPr>
          <w:spacing w:val="-5"/>
        </w:rPr>
        <w:t> </w:t>
      </w:r>
      <w:r>
        <w:rPr/>
        <w:t>su</w:t>
      </w:r>
      <w:r>
        <w:rPr>
          <w:spacing w:val="-5"/>
        </w:rPr>
        <w:t> ES</w:t>
      </w:r>
    </w:p>
    <w:p>
      <w:pPr>
        <w:pStyle w:val="Heading2"/>
        <w:spacing w:before="155"/>
      </w:pPr>
      <w:r>
        <w:rPr>
          <w:spacing w:val="-2"/>
        </w:rPr>
        <w:t>Asmeniškai</w:t>
      </w:r>
    </w:p>
    <w:p>
      <w:pPr>
        <w:spacing w:line="290" w:lineRule="auto" w:before="166"/>
        <w:ind w:left="437" w:right="403" w:firstLine="0"/>
        <w:jc w:val="left"/>
        <w:rPr>
          <w:sz w:val="22"/>
        </w:rPr>
      </w:pPr>
      <w:r>
        <w:rPr>
          <w:sz w:val="22"/>
        </w:rPr>
        <w:t>Visoje</w:t>
      </w:r>
      <w:r>
        <w:rPr>
          <w:spacing w:val="-5"/>
          <w:sz w:val="22"/>
        </w:rPr>
        <w:t> </w:t>
      </w:r>
      <w:r>
        <w:rPr>
          <w:sz w:val="22"/>
        </w:rPr>
        <w:t>Europos</w:t>
      </w:r>
      <w:r>
        <w:rPr>
          <w:spacing w:val="-5"/>
          <w:sz w:val="22"/>
        </w:rPr>
        <w:t> </w:t>
      </w:r>
      <w:r>
        <w:rPr>
          <w:sz w:val="22"/>
        </w:rPr>
        <w:t>Sąjungoje</w:t>
      </w:r>
      <w:r>
        <w:rPr>
          <w:spacing w:val="-5"/>
          <w:sz w:val="22"/>
        </w:rPr>
        <w:t> </w:t>
      </w:r>
      <w:r>
        <w:rPr>
          <w:sz w:val="22"/>
        </w:rPr>
        <w:t>yra</w:t>
      </w:r>
      <w:r>
        <w:rPr>
          <w:spacing w:val="-5"/>
          <w:sz w:val="22"/>
        </w:rPr>
        <w:t> </w:t>
      </w:r>
      <w:r>
        <w:rPr>
          <w:sz w:val="22"/>
        </w:rPr>
        <w:t>šimtai</w:t>
      </w:r>
      <w:r>
        <w:rPr>
          <w:spacing w:val="-5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centrų.</w:t>
      </w:r>
      <w:r>
        <w:rPr>
          <w:spacing w:val="-5"/>
          <w:sz w:val="22"/>
        </w:rPr>
        <w:t> </w:t>
      </w:r>
      <w:r>
        <w:rPr>
          <w:sz w:val="22"/>
        </w:rPr>
        <w:t>Artimiausio</w:t>
      </w:r>
      <w:r>
        <w:rPr>
          <w:spacing w:val="-5"/>
          <w:sz w:val="22"/>
        </w:rPr>
        <w:t> </w:t>
      </w:r>
      <w:r>
        <w:rPr>
          <w:sz w:val="22"/>
        </w:rPr>
        <w:t>centro</w:t>
      </w:r>
      <w:r>
        <w:rPr>
          <w:spacing w:val="-5"/>
          <w:sz w:val="22"/>
        </w:rPr>
        <w:t> </w:t>
      </w:r>
      <w:r>
        <w:rPr>
          <w:sz w:val="22"/>
        </w:rPr>
        <w:t>adresą</w:t>
      </w:r>
      <w:r>
        <w:rPr>
          <w:spacing w:val="-5"/>
          <w:sz w:val="22"/>
        </w:rPr>
        <w:t> </w:t>
      </w:r>
      <w:r>
        <w:rPr>
          <w:sz w:val="22"/>
        </w:rPr>
        <w:t>galite</w:t>
      </w:r>
      <w:r>
        <w:rPr>
          <w:spacing w:val="-5"/>
          <w:sz w:val="22"/>
        </w:rPr>
        <w:t> </w:t>
      </w:r>
      <w:r>
        <w:rPr>
          <w:sz w:val="22"/>
        </w:rPr>
        <w:t>rasti internetu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european-union.europa.eu/contact-eu/meet-us_lt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Telefonu</w:t>
      </w:r>
      <w:r>
        <w:rPr>
          <w:spacing w:val="-14"/>
        </w:rPr>
        <w:t> </w:t>
      </w:r>
      <w:r>
        <w:rPr/>
        <w:t>arba</w:t>
      </w:r>
      <w:r>
        <w:rPr>
          <w:spacing w:val="-13"/>
        </w:rPr>
        <w:t> </w:t>
      </w:r>
      <w:r>
        <w:rPr>
          <w:spacing w:val="-2"/>
        </w:rPr>
        <w:t>raštu</w:t>
      </w:r>
    </w:p>
    <w:p>
      <w:pPr>
        <w:spacing w:line="290" w:lineRule="auto" w:before="167"/>
        <w:ind w:left="437" w:right="403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atsakys</w:t>
      </w:r>
      <w:r>
        <w:rPr>
          <w:spacing w:val="-4"/>
          <w:sz w:val="22"/>
        </w:rPr>
        <w:t> </w:t>
      </w:r>
      <w:r>
        <w:rPr>
          <w:sz w:val="22"/>
        </w:rPr>
        <w:t>į</w:t>
      </w:r>
      <w:r>
        <w:rPr>
          <w:spacing w:val="-4"/>
          <w:sz w:val="22"/>
        </w:rPr>
        <w:t> </w:t>
      </w:r>
      <w:r>
        <w:rPr>
          <w:sz w:val="22"/>
        </w:rPr>
        <w:t>jūsų</w:t>
      </w:r>
      <w:r>
        <w:rPr>
          <w:spacing w:val="-4"/>
          <w:sz w:val="22"/>
        </w:rPr>
        <w:t> </w:t>
      </w:r>
      <w:r>
        <w:rPr>
          <w:sz w:val="22"/>
        </w:rPr>
        <w:t>klausimus</w:t>
      </w:r>
      <w:r>
        <w:rPr>
          <w:spacing w:val="-4"/>
          <w:sz w:val="22"/>
        </w:rPr>
        <w:t> </w:t>
      </w:r>
      <w:r>
        <w:rPr>
          <w:sz w:val="22"/>
        </w:rPr>
        <w:t>apie</w:t>
      </w:r>
      <w:r>
        <w:rPr>
          <w:spacing w:val="-4"/>
          <w:sz w:val="22"/>
        </w:rPr>
        <w:t> </w:t>
      </w:r>
      <w:r>
        <w:rPr>
          <w:sz w:val="22"/>
        </w:rPr>
        <w:t>Europos</w:t>
      </w:r>
      <w:r>
        <w:rPr>
          <w:spacing w:val="-4"/>
          <w:sz w:val="22"/>
        </w:rPr>
        <w:t> </w:t>
      </w:r>
      <w:r>
        <w:rPr>
          <w:sz w:val="22"/>
        </w:rPr>
        <w:t>Sąjungą.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šia</w:t>
      </w:r>
      <w:r>
        <w:rPr>
          <w:spacing w:val="-4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galite </w:t>
      </w:r>
      <w:r>
        <w:rPr>
          <w:spacing w:val="-2"/>
          <w:sz w:val="22"/>
        </w:rPr>
        <w:t>susisiekti: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744" w:hanging="400"/>
        <w:jc w:val="left"/>
        <w:rPr>
          <w:sz w:val="22"/>
        </w:rPr>
      </w:pPr>
      <w:r>
        <w:rPr>
          <w:sz w:val="22"/>
        </w:rPr>
        <w:t>nemokamu</w:t>
      </w:r>
      <w:r>
        <w:rPr>
          <w:spacing w:val="-4"/>
          <w:sz w:val="22"/>
        </w:rPr>
        <w:t> </w:t>
      </w:r>
      <w:r>
        <w:rPr>
          <w:sz w:val="22"/>
        </w:rPr>
        <w:t>numeriu: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(kai</w:t>
      </w:r>
      <w:r>
        <w:rPr>
          <w:spacing w:val="-4"/>
          <w:sz w:val="22"/>
        </w:rPr>
        <w:t> </w:t>
      </w:r>
      <w:r>
        <w:rPr>
          <w:sz w:val="22"/>
        </w:rPr>
        <w:t>kurie</w:t>
      </w:r>
      <w:r>
        <w:rPr>
          <w:spacing w:val="-4"/>
          <w:sz w:val="22"/>
        </w:rPr>
        <w:t> </w:t>
      </w:r>
      <w:r>
        <w:rPr>
          <w:sz w:val="22"/>
        </w:rPr>
        <w:t>operatoriai</w:t>
      </w:r>
      <w:r>
        <w:rPr>
          <w:spacing w:val="-4"/>
          <w:sz w:val="22"/>
        </w:rPr>
        <w:t> </w:t>
      </w:r>
      <w:r>
        <w:rPr>
          <w:sz w:val="22"/>
        </w:rPr>
        <w:t>už</w:t>
      </w:r>
      <w:r>
        <w:rPr>
          <w:spacing w:val="-4"/>
          <w:sz w:val="22"/>
        </w:rPr>
        <w:t> </w:t>
      </w:r>
      <w:r>
        <w:rPr>
          <w:sz w:val="22"/>
        </w:rPr>
        <w:t>šiuos</w:t>
      </w:r>
      <w:r>
        <w:rPr>
          <w:spacing w:val="-4"/>
          <w:sz w:val="22"/>
        </w:rPr>
        <w:t> </w:t>
      </w:r>
      <w:r>
        <w:rPr>
          <w:sz w:val="22"/>
        </w:rPr>
        <w:t>skambučius</w:t>
      </w:r>
      <w:r>
        <w:rPr>
          <w:spacing w:val="-4"/>
          <w:sz w:val="22"/>
        </w:rPr>
        <w:t> </w:t>
      </w:r>
      <w:r>
        <w:rPr>
          <w:sz w:val="22"/>
        </w:rPr>
        <w:t>gali</w:t>
      </w:r>
      <w:r>
        <w:rPr>
          <w:spacing w:val="-4"/>
          <w:sz w:val="22"/>
        </w:rPr>
        <w:t> </w:t>
      </w:r>
      <w:r>
        <w:rPr>
          <w:sz w:val="22"/>
        </w:rPr>
        <w:t>imti </w:t>
      </w:r>
      <w:r>
        <w:rPr>
          <w:spacing w:val="-2"/>
          <w:sz w:val="22"/>
        </w:rPr>
        <w:t>mokestį),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šiuo</w:t>
      </w:r>
      <w:r>
        <w:rPr>
          <w:spacing w:val="-7"/>
          <w:sz w:val="22"/>
        </w:rPr>
        <w:t> </w:t>
      </w:r>
      <w:r>
        <w:rPr>
          <w:sz w:val="22"/>
        </w:rPr>
        <w:t>standartiniu</w:t>
      </w:r>
      <w:r>
        <w:rPr>
          <w:spacing w:val="-7"/>
          <w:sz w:val="22"/>
        </w:rPr>
        <w:t> </w:t>
      </w:r>
      <w:r>
        <w:rPr>
          <w:sz w:val="22"/>
        </w:rPr>
        <w:t>numeriu: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naudodami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šią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formą:</w:t>
      </w:r>
      <w:r>
        <w:rPr>
          <w:spacing w:val="22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european-union.europa.eu/contact-eu/write-us_lt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Kaip</w:t>
      </w:r>
      <w:r>
        <w:rPr>
          <w:spacing w:val="-7"/>
        </w:rPr>
        <w:t> </w:t>
      </w:r>
      <w:r>
        <w:rPr/>
        <w:t>rasti</w:t>
      </w:r>
      <w:r>
        <w:rPr>
          <w:spacing w:val="-6"/>
        </w:rPr>
        <w:t> </w:t>
      </w:r>
      <w:r>
        <w:rPr/>
        <w:t>informacijos</w:t>
      </w:r>
      <w:r>
        <w:rPr>
          <w:spacing w:val="-6"/>
        </w:rPr>
        <w:t> </w:t>
      </w:r>
      <w:r>
        <w:rPr/>
        <w:t>apie</w:t>
      </w:r>
      <w:r>
        <w:rPr>
          <w:spacing w:val="-6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Internetas</w:t>
      </w:r>
    </w:p>
    <w:p>
      <w:pPr>
        <w:spacing w:before="166"/>
        <w:ind w:left="437" w:right="0" w:firstLine="0"/>
        <w:jc w:val="left"/>
        <w:rPr>
          <w:sz w:val="22"/>
        </w:rPr>
      </w:pPr>
      <w:r>
        <w:rPr>
          <w:sz w:val="22"/>
        </w:rPr>
        <w:t>Informacijos</w:t>
      </w:r>
      <w:r>
        <w:rPr>
          <w:spacing w:val="-5"/>
          <w:sz w:val="22"/>
        </w:rPr>
        <w:t> </w:t>
      </w:r>
      <w:r>
        <w:rPr>
          <w:sz w:val="22"/>
        </w:rPr>
        <w:t>apie</w:t>
      </w:r>
      <w:r>
        <w:rPr>
          <w:spacing w:val="-3"/>
          <w:sz w:val="22"/>
        </w:rPr>
        <w:t> </w:t>
      </w:r>
      <w:r>
        <w:rPr>
          <w:sz w:val="22"/>
        </w:rPr>
        <w:t>Europos</w:t>
      </w:r>
      <w:r>
        <w:rPr>
          <w:spacing w:val="-3"/>
          <w:sz w:val="22"/>
        </w:rPr>
        <w:t> </w:t>
      </w:r>
      <w:r>
        <w:rPr>
          <w:sz w:val="22"/>
        </w:rPr>
        <w:t>Sąjungą</w:t>
      </w:r>
      <w:r>
        <w:rPr>
          <w:spacing w:val="-3"/>
          <w:sz w:val="22"/>
        </w:rPr>
        <w:t> </w:t>
      </w:r>
      <w:r>
        <w:rPr>
          <w:sz w:val="22"/>
        </w:rPr>
        <w:t>visomis</w:t>
      </w:r>
      <w:r>
        <w:rPr>
          <w:spacing w:val="-3"/>
          <w:sz w:val="22"/>
        </w:rPr>
        <w:t> </w:t>
      </w:r>
      <w:r>
        <w:rPr>
          <w:sz w:val="22"/>
        </w:rPr>
        <w:t>oficialiosiomis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kalbomis</w:t>
      </w:r>
      <w:r>
        <w:rPr>
          <w:spacing w:val="-3"/>
          <w:sz w:val="22"/>
        </w:rPr>
        <w:t> </w:t>
      </w:r>
      <w:r>
        <w:rPr>
          <w:sz w:val="22"/>
        </w:rPr>
        <w:t>galima</w:t>
      </w:r>
      <w:r>
        <w:rPr>
          <w:spacing w:val="-3"/>
          <w:sz w:val="22"/>
        </w:rPr>
        <w:t> </w:t>
      </w:r>
      <w:r>
        <w:rPr>
          <w:sz w:val="22"/>
        </w:rPr>
        <w:t>rasti</w:t>
      </w:r>
      <w:r>
        <w:rPr>
          <w:spacing w:val="-2"/>
          <w:sz w:val="22"/>
        </w:rPr>
        <w:t> svetainėje</w:t>
      </w:r>
    </w:p>
    <w:p>
      <w:pPr>
        <w:spacing w:before="53"/>
        <w:ind w:left="437" w:right="0" w:firstLine="0"/>
        <w:jc w:val="left"/>
        <w:rPr>
          <w:sz w:val="22"/>
        </w:rPr>
      </w:pPr>
      <w:r>
        <w:rPr>
          <w:i/>
          <w:sz w:val="22"/>
        </w:rPr>
        <w:t>Europa</w:t>
      </w:r>
      <w:r>
        <w:rPr>
          <w:i/>
          <w:spacing w:val="-15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leidiniai</w:t>
      </w:r>
    </w:p>
    <w:p>
      <w:pPr>
        <w:spacing w:line="290" w:lineRule="auto" w:before="166"/>
        <w:ind w:left="437" w:right="530" w:firstLine="0"/>
        <w:jc w:val="left"/>
        <w:rPr>
          <w:sz w:val="22"/>
        </w:rPr>
      </w:pPr>
      <w:r>
        <w:rPr>
          <w:sz w:val="22"/>
        </w:rPr>
        <w:t>ES leidinius galite peržiūrėti arba užsisakyti adresu </w:t>
      </w:r>
      <w:hyperlink r:id="rId13">
        <w:r>
          <w:rPr>
            <w:color w:val="0000FF"/>
            <w:sz w:val="22"/>
            <w:u w:val="single" w:color="0000FF"/>
          </w:rPr>
          <w:t>op.europa.eu/lt/publications</w:t>
        </w:r>
      </w:hyperlink>
      <w:r>
        <w:rPr>
          <w:sz w:val="22"/>
          <w:u w:val="none"/>
        </w:rPr>
        <w:t>. Jeigu jums reikia daugiau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nemokamų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leidinių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egzempliorių,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kreipkitės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į</w:t>
      </w:r>
      <w:r>
        <w:rPr>
          <w:spacing w:val="-2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arba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į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vietos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centrą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european-union.europa.eu/contact-eu/meet-us_lt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4"/>
        </w:rPr>
        <w:t> </w:t>
      </w:r>
      <w:r>
        <w:rPr/>
        <w:t>teisė</w:t>
      </w:r>
      <w:r>
        <w:rPr>
          <w:spacing w:val="-4"/>
        </w:rPr>
        <w:t> </w:t>
      </w:r>
      <w:r>
        <w:rPr/>
        <w:t>ir</w:t>
      </w:r>
      <w:r>
        <w:rPr>
          <w:spacing w:val="-4"/>
        </w:rPr>
        <w:t> </w:t>
      </w:r>
      <w:r>
        <w:rPr/>
        <w:t>susiję</w:t>
      </w:r>
      <w:r>
        <w:rPr>
          <w:spacing w:val="-3"/>
        </w:rPr>
        <w:t> </w:t>
      </w:r>
      <w:r>
        <w:rPr>
          <w:spacing w:val="-2"/>
        </w:rPr>
        <w:t>dokumentai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Norėdami</w:t>
      </w:r>
      <w:r>
        <w:rPr>
          <w:spacing w:val="-4"/>
          <w:sz w:val="22"/>
        </w:rPr>
        <w:t> </w:t>
      </w:r>
      <w:r>
        <w:rPr>
          <w:sz w:val="22"/>
        </w:rPr>
        <w:t>susipažinti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teisine</w:t>
      </w:r>
      <w:r>
        <w:rPr>
          <w:spacing w:val="-4"/>
          <w:sz w:val="22"/>
        </w:rPr>
        <w:t> </w:t>
      </w:r>
      <w:r>
        <w:rPr>
          <w:sz w:val="22"/>
        </w:rPr>
        <w:t>informacija,</w:t>
      </w:r>
      <w:r>
        <w:rPr>
          <w:spacing w:val="-4"/>
          <w:sz w:val="22"/>
        </w:rPr>
        <w:t> </w:t>
      </w:r>
      <w:r>
        <w:rPr>
          <w:sz w:val="22"/>
        </w:rPr>
        <w:t>įskaitant</w:t>
      </w:r>
      <w:r>
        <w:rPr>
          <w:spacing w:val="-4"/>
          <w:sz w:val="22"/>
        </w:rPr>
        <w:t> </w:t>
      </w:r>
      <w:r>
        <w:rPr>
          <w:sz w:val="22"/>
        </w:rPr>
        <w:t>visus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teisės</w:t>
      </w:r>
      <w:r>
        <w:rPr>
          <w:spacing w:val="-4"/>
          <w:sz w:val="22"/>
        </w:rPr>
        <w:t> </w:t>
      </w:r>
      <w:r>
        <w:rPr>
          <w:sz w:val="22"/>
        </w:rPr>
        <w:t>aktus</w:t>
      </w:r>
      <w:r>
        <w:rPr>
          <w:spacing w:val="-4"/>
          <w:sz w:val="22"/>
        </w:rPr>
        <w:t> </w:t>
      </w:r>
      <w:r>
        <w:rPr>
          <w:sz w:val="22"/>
        </w:rPr>
        <w:t>nuo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m.</w:t>
      </w:r>
      <w:r>
        <w:rPr>
          <w:spacing w:val="-4"/>
          <w:sz w:val="22"/>
        </w:rPr>
        <w:t> </w:t>
      </w:r>
      <w:r>
        <w:rPr>
          <w:sz w:val="22"/>
        </w:rPr>
        <w:t>visomis oficialiosiomis kalbomis, apsilankykite svetainėje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8"/>
        </w:rPr>
        <w:t> </w:t>
      </w:r>
      <w:r>
        <w:rPr/>
        <w:t>atvirieji</w:t>
      </w:r>
      <w:r>
        <w:rPr>
          <w:spacing w:val="-5"/>
        </w:rPr>
        <w:t> </w:t>
      </w:r>
      <w:r>
        <w:rPr>
          <w:spacing w:val="-2"/>
        </w:rPr>
        <w:t>duomenys</w:t>
      </w:r>
    </w:p>
    <w:p>
      <w:pPr>
        <w:spacing w:line="290" w:lineRule="auto" w:before="166"/>
        <w:ind w:left="437" w:right="403" w:firstLine="0"/>
        <w:jc w:val="left"/>
        <w:rPr>
          <w:sz w:val="22"/>
        </w:rPr>
      </w:pPr>
      <w:r>
        <w:rPr>
          <w:sz w:val="22"/>
        </w:rPr>
        <w:t>Portale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suteikiama prieiga prie ES institucijų, įstaigų ir agentūrų atvirųjų duomenų rinkinių.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Šiuos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duomenis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galima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nemokamai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parsisiųsti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pakartotinai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naudoti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tiek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komerciniais,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tiek nekomerciniais tikslais. Be to, portale suteikiama prieiga prie daugybės Europos šalių duomenų </w:t>
      </w:r>
      <w:r>
        <w:rPr>
          <w:spacing w:val="-2"/>
          <w:sz w:val="22"/>
          <w:u w:val="none"/>
        </w:rPr>
        <w:t>rinkinių.</w:t>
      </w:r>
    </w:p>
    <w:sectPr>
      <w:pgSz w:w="11910" w:h="16840"/>
      <w:pgMar w:top="600" w:bottom="280" w:left="64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796" w:hanging="4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773" w:hanging="4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750" w:hanging="4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727" w:hanging="4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704" w:hanging="4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681" w:hanging="4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658" w:hanging="4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635" w:hanging="400"/>
      </w:pPr>
      <w:rPr>
        <w:rFonts w:hint="default"/>
        <w:lang w:val="lt-L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472" w:hanging="3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485" w:hanging="3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498" w:hanging="3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511" w:hanging="3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524" w:hanging="3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537" w:hanging="3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550" w:hanging="3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563" w:hanging="300"/>
      </w:pPr>
      <w:rPr>
        <w:rFonts w:hint="default"/>
        <w:lang w:val="lt-L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544" w:hanging="38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549" w:hanging="38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554" w:hanging="38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559" w:hanging="38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564" w:hanging="38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569" w:hanging="38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574" w:hanging="38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579" w:hanging="380"/>
      </w:pPr>
      <w:rPr>
        <w:rFonts w:hint="default"/>
        <w:lang w:val="lt-L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lt-L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lt-L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lt" TargetMode="External"/><Relationship Id="rId11" Type="http://schemas.openxmlformats.org/officeDocument/2006/relationships/hyperlink" Target="https://european-union.europa.eu/contact-eu/write-us_lt" TargetMode="External"/><Relationship Id="rId12" Type="http://schemas.openxmlformats.org/officeDocument/2006/relationships/hyperlink" Target="https://european-union.europa.eu/index_lt" TargetMode="External"/><Relationship Id="rId13" Type="http://schemas.openxmlformats.org/officeDocument/2006/relationships/hyperlink" Target="https://op.europa.eu/l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l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LT</dc:title>
  <dcterms:created xsi:type="dcterms:W3CDTF">2025-05-21T17:52:16Z</dcterms:created>
  <dcterms:modified xsi:type="dcterms:W3CDTF">2025-05-21T17:52:16Z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